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07" w:rsidRPr="00633CAB" w:rsidRDefault="008C3007" w:rsidP="008C3007">
      <w:pPr>
        <w:rPr>
          <w:b/>
          <w:sz w:val="24"/>
          <w:szCs w:val="24"/>
          <w:u w:val="single"/>
        </w:rPr>
      </w:pPr>
      <w:r w:rsidRPr="00633CAB">
        <w:rPr>
          <w:b/>
          <w:sz w:val="24"/>
          <w:szCs w:val="24"/>
          <w:u w:val="single"/>
        </w:rPr>
        <w:t xml:space="preserve">OPERATIONAL GUIDELINES: DVT/VTE Scoring and Risk Level in Pediatric </w:t>
      </w:r>
      <w:bookmarkStart w:id="0" w:name="_GoBack"/>
      <w:bookmarkEnd w:id="0"/>
      <w:r w:rsidRPr="00633CAB">
        <w:rPr>
          <w:b/>
          <w:sz w:val="24"/>
          <w:szCs w:val="24"/>
          <w:u w:val="single"/>
        </w:rPr>
        <w:t>Burn Patients</w:t>
      </w:r>
    </w:p>
    <w:p w:rsidR="00633CAB" w:rsidRDefault="00633CAB" w:rsidP="00633CAB">
      <w:pPr>
        <w:rPr>
          <w:sz w:val="24"/>
          <w:szCs w:val="24"/>
        </w:rPr>
      </w:pPr>
      <w:r w:rsidRPr="00633CAB">
        <w:rPr>
          <w:sz w:val="24"/>
          <w:szCs w:val="24"/>
        </w:rPr>
        <w:t xml:space="preserve">The </w:t>
      </w:r>
      <w:r w:rsidRPr="00633CAB">
        <w:rPr>
          <w:b/>
          <w:bCs/>
          <w:sz w:val="24"/>
          <w:szCs w:val="24"/>
        </w:rPr>
        <w:t xml:space="preserve">Pediatric DVT/VTE Assessment </w:t>
      </w:r>
      <w:r w:rsidRPr="00633CAB">
        <w:rPr>
          <w:sz w:val="24"/>
          <w:szCs w:val="24"/>
        </w:rPr>
        <w:t xml:space="preserve">is documented for </w:t>
      </w:r>
      <w:r w:rsidRPr="00633CAB">
        <w:rPr>
          <w:b/>
          <w:bCs/>
          <w:sz w:val="24"/>
          <w:szCs w:val="24"/>
        </w:rPr>
        <w:t>patients aged 8-17</w:t>
      </w:r>
      <w:r w:rsidRPr="00633CAB">
        <w:rPr>
          <w:sz w:val="24"/>
          <w:szCs w:val="24"/>
        </w:rPr>
        <w:t>.</w:t>
      </w:r>
    </w:p>
    <w:p w:rsidR="00A55E42" w:rsidRPr="00633CAB" w:rsidRDefault="00A55E42" w:rsidP="00633CAB">
      <w:pPr>
        <w:rPr>
          <w:b/>
          <w:sz w:val="24"/>
          <w:szCs w:val="24"/>
          <w:u w:val="single"/>
        </w:rPr>
      </w:pPr>
      <w:r>
        <w:rPr>
          <w:sz w:val="24"/>
          <w:szCs w:val="24"/>
        </w:rPr>
        <w:t>Pediatric burns &gt;50% TBSA are at a higher risk for DVT’s.</w:t>
      </w:r>
    </w:p>
    <w:p w:rsidR="008C3007" w:rsidRPr="00633CAB" w:rsidRDefault="008C3007" w:rsidP="008C3007">
      <w:pPr>
        <w:rPr>
          <w:b/>
          <w:sz w:val="24"/>
          <w:szCs w:val="24"/>
          <w:u w:val="single"/>
        </w:rPr>
      </w:pPr>
    </w:p>
    <w:p w:rsidR="008C3007" w:rsidRPr="00633CAB" w:rsidRDefault="008C3007" w:rsidP="008C3007">
      <w:pPr>
        <w:pStyle w:val="Default"/>
        <w:rPr>
          <w:rFonts w:ascii="Times New Roman" w:hAnsi="Times New Roman" w:cs="Times New Roman"/>
        </w:rPr>
      </w:pPr>
      <w:r w:rsidRPr="00633CAB">
        <w:rPr>
          <w:rFonts w:ascii="Times New Roman" w:hAnsi="Times New Roman" w:cs="Times New Roman"/>
          <w:b/>
          <w:u w:val="single"/>
        </w:rPr>
        <w:t>OBJECTIVE:</w:t>
      </w:r>
      <w:r w:rsidRPr="00633CAB">
        <w:rPr>
          <w:rFonts w:ascii="Times New Roman" w:hAnsi="Times New Roman" w:cs="Times New Roman"/>
        </w:rPr>
        <w:t xml:space="preserve">  </w:t>
      </w:r>
    </w:p>
    <w:p w:rsidR="008C3007" w:rsidRPr="00633CAB" w:rsidRDefault="008C3007" w:rsidP="008C3007">
      <w:pPr>
        <w:jc w:val="both"/>
        <w:rPr>
          <w:sz w:val="24"/>
          <w:szCs w:val="24"/>
        </w:rPr>
      </w:pPr>
      <w:r w:rsidRPr="00633CAB">
        <w:rPr>
          <w:sz w:val="24"/>
          <w:szCs w:val="24"/>
        </w:rPr>
        <w:t>In providing outstanding care to our patients at an increased risk for DVT, it is important to ensure that RNs caring for these patients have an understanding of the physicians screening assessment. In addition, providing a guide for best practice in DVT/VTE scoring in pediatric burn patients</w:t>
      </w:r>
    </w:p>
    <w:p w:rsidR="008C3007" w:rsidRPr="00633CAB" w:rsidRDefault="008C3007" w:rsidP="008C3007">
      <w:pPr>
        <w:jc w:val="both"/>
        <w:rPr>
          <w:sz w:val="24"/>
          <w:szCs w:val="24"/>
        </w:rPr>
      </w:pPr>
    </w:p>
    <w:p w:rsidR="008C3007" w:rsidRPr="00633CAB" w:rsidRDefault="008C3007" w:rsidP="008C3007">
      <w:pPr>
        <w:jc w:val="both"/>
        <w:rPr>
          <w:b/>
          <w:sz w:val="24"/>
          <w:szCs w:val="24"/>
          <w:u w:val="single"/>
        </w:rPr>
      </w:pPr>
      <w:r w:rsidRPr="00633CAB">
        <w:rPr>
          <w:b/>
          <w:sz w:val="24"/>
          <w:szCs w:val="24"/>
          <w:u w:val="single"/>
        </w:rPr>
        <w:t>GUIDELINES:</w:t>
      </w:r>
    </w:p>
    <w:p w:rsidR="00590C93" w:rsidRPr="00633CAB" w:rsidRDefault="00590C93" w:rsidP="00590C93">
      <w:pPr>
        <w:rPr>
          <w:sz w:val="24"/>
          <w:szCs w:val="24"/>
        </w:rPr>
      </w:pPr>
      <w:r w:rsidRPr="00633CAB">
        <w:rPr>
          <w:sz w:val="24"/>
          <w:szCs w:val="24"/>
        </w:rPr>
        <w:t xml:space="preserve">This screening tool is in the admitting resident’s workflow, and can be easily accessed at any time from the clinical overview screen. The screening questions will assess the patient risk based on the logic below, which is from the Children’s Hospital Association Solutions for Patient Safety VTE prevention bundle. </w:t>
      </w:r>
    </w:p>
    <w:p w:rsidR="00590C93" w:rsidRPr="00633CAB" w:rsidRDefault="00590C93" w:rsidP="008C3007">
      <w:pPr>
        <w:jc w:val="both"/>
        <w:rPr>
          <w:b/>
          <w:sz w:val="24"/>
          <w:szCs w:val="24"/>
        </w:rPr>
      </w:pPr>
      <w:r w:rsidRPr="00633CAB">
        <w:rPr>
          <w:noProof/>
          <w:sz w:val="24"/>
          <w:szCs w:val="24"/>
        </w:rPr>
        <w:drawing>
          <wp:anchor distT="0" distB="0" distL="114300" distR="114300" simplePos="0" relativeHeight="251658240" behindDoc="0" locked="0" layoutInCell="1" allowOverlap="1">
            <wp:simplePos x="914400" y="3062288"/>
            <wp:positionH relativeFrom="column">
              <wp:align>left</wp:align>
            </wp:positionH>
            <wp:positionV relativeFrom="paragraph">
              <wp:align>top</wp:align>
            </wp:positionV>
            <wp:extent cx="5238750" cy="244195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38750" cy="2441952"/>
                    </a:xfrm>
                    <a:prstGeom prst="rect">
                      <a:avLst/>
                    </a:prstGeom>
                  </pic:spPr>
                </pic:pic>
              </a:graphicData>
            </a:graphic>
          </wp:anchor>
        </w:drawing>
      </w: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Pr="00590C93" w:rsidRDefault="00590C93" w:rsidP="00590C93">
      <w:pPr>
        <w:rPr>
          <w:sz w:val="24"/>
          <w:szCs w:val="24"/>
        </w:rPr>
      </w:pPr>
    </w:p>
    <w:p w:rsidR="00590C93" w:rsidRDefault="00590C93" w:rsidP="008C3007">
      <w:pPr>
        <w:jc w:val="both"/>
        <w:rPr>
          <w:b/>
          <w:sz w:val="24"/>
          <w:szCs w:val="24"/>
        </w:rPr>
      </w:pPr>
    </w:p>
    <w:p w:rsidR="00590C93" w:rsidRDefault="00590C93" w:rsidP="008C3007">
      <w:pPr>
        <w:jc w:val="both"/>
        <w:rPr>
          <w:b/>
          <w:sz w:val="24"/>
          <w:szCs w:val="24"/>
        </w:rPr>
      </w:pPr>
    </w:p>
    <w:p w:rsidR="00590C93" w:rsidRDefault="00590C93" w:rsidP="008C3007">
      <w:pPr>
        <w:jc w:val="both"/>
        <w:rPr>
          <w:b/>
          <w:sz w:val="24"/>
          <w:szCs w:val="24"/>
        </w:rPr>
      </w:pPr>
      <w:r>
        <w:rPr>
          <w:b/>
          <w:sz w:val="24"/>
          <w:szCs w:val="24"/>
        </w:rPr>
        <w:br w:type="textWrapping" w:clear="all"/>
      </w:r>
      <w:r>
        <w:rPr>
          <w:noProof/>
        </w:rPr>
        <w:drawing>
          <wp:inline distT="0" distB="0" distL="0" distR="0" wp14:anchorId="28BC7FEA" wp14:editId="62840B73">
            <wp:extent cx="5172075" cy="15621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90481" cy="1567680"/>
                    </a:xfrm>
                    <a:prstGeom prst="rect">
                      <a:avLst/>
                    </a:prstGeom>
                  </pic:spPr>
                </pic:pic>
              </a:graphicData>
            </a:graphic>
          </wp:inline>
        </w:drawing>
      </w:r>
    </w:p>
    <w:p w:rsidR="00590C93" w:rsidRPr="00590C93" w:rsidRDefault="00590C93" w:rsidP="00590C93">
      <w:pPr>
        <w:rPr>
          <w:sz w:val="24"/>
          <w:szCs w:val="24"/>
        </w:rPr>
      </w:pPr>
    </w:p>
    <w:p w:rsidR="00590C93" w:rsidRPr="00590C93" w:rsidRDefault="00590C93" w:rsidP="00590C93">
      <w:pPr>
        <w:overflowPunct/>
        <w:rPr>
          <w:rFonts w:eastAsiaTheme="minorHAnsi"/>
          <w:color w:val="000000"/>
          <w:sz w:val="24"/>
          <w:szCs w:val="24"/>
        </w:rPr>
      </w:pPr>
      <w:r w:rsidRPr="00590C93">
        <w:rPr>
          <w:rFonts w:eastAsiaTheme="minorHAnsi"/>
          <w:color w:val="000000"/>
          <w:sz w:val="24"/>
          <w:szCs w:val="24"/>
        </w:rPr>
        <w:t xml:space="preserve">The </w:t>
      </w:r>
      <w:r w:rsidRPr="00590C93">
        <w:rPr>
          <w:rFonts w:eastAsiaTheme="minorHAnsi"/>
          <w:b/>
          <w:bCs/>
          <w:color w:val="000000"/>
          <w:sz w:val="24"/>
          <w:szCs w:val="24"/>
        </w:rPr>
        <w:t xml:space="preserve">Pediatric DVT/VTE Assessment </w:t>
      </w:r>
      <w:r w:rsidRPr="00590C93">
        <w:rPr>
          <w:rFonts w:eastAsiaTheme="minorHAnsi"/>
          <w:color w:val="000000"/>
          <w:sz w:val="24"/>
          <w:szCs w:val="24"/>
        </w:rPr>
        <w:t xml:space="preserve">is documented for </w:t>
      </w:r>
      <w:r w:rsidRPr="00590C93">
        <w:rPr>
          <w:rFonts w:eastAsiaTheme="minorHAnsi"/>
          <w:b/>
          <w:bCs/>
          <w:color w:val="000000"/>
          <w:sz w:val="24"/>
          <w:szCs w:val="24"/>
        </w:rPr>
        <w:t>patients aged 8-17</w:t>
      </w:r>
      <w:r w:rsidRPr="00590C93">
        <w:rPr>
          <w:rFonts w:eastAsiaTheme="minorHAnsi"/>
          <w:color w:val="000000"/>
          <w:sz w:val="24"/>
          <w:szCs w:val="24"/>
        </w:rPr>
        <w:t xml:space="preserve">. </w:t>
      </w:r>
    </w:p>
    <w:p w:rsidR="00590C93" w:rsidRPr="00590C93" w:rsidRDefault="00590C93" w:rsidP="00590C93">
      <w:pPr>
        <w:overflowPunct/>
        <w:spacing w:after="22"/>
        <w:rPr>
          <w:rFonts w:eastAsiaTheme="minorHAnsi"/>
          <w:color w:val="000000"/>
          <w:sz w:val="24"/>
          <w:szCs w:val="24"/>
        </w:rPr>
      </w:pPr>
      <w:r w:rsidRPr="00590C93">
        <w:rPr>
          <w:rFonts w:eastAsiaTheme="minorHAnsi"/>
          <w:color w:val="000000"/>
          <w:sz w:val="24"/>
          <w:szCs w:val="24"/>
        </w:rPr>
        <w:t xml:space="preserve">1. On the assessment form, document </w:t>
      </w:r>
      <w:r w:rsidRPr="00590C93">
        <w:rPr>
          <w:rFonts w:eastAsiaTheme="minorHAnsi"/>
          <w:b/>
          <w:bCs/>
          <w:color w:val="000000"/>
          <w:sz w:val="24"/>
          <w:szCs w:val="24"/>
        </w:rPr>
        <w:t>Trauma Patient</w:t>
      </w:r>
      <w:r w:rsidRPr="00590C93">
        <w:rPr>
          <w:rFonts w:eastAsiaTheme="minorHAnsi"/>
          <w:color w:val="000000"/>
          <w:sz w:val="24"/>
          <w:szCs w:val="24"/>
        </w:rPr>
        <w:t xml:space="preserve">. </w:t>
      </w:r>
    </w:p>
    <w:p w:rsidR="00590C93" w:rsidRPr="00590C93" w:rsidRDefault="00590C93" w:rsidP="00590C93">
      <w:pPr>
        <w:overflowPunct/>
        <w:spacing w:after="22"/>
        <w:rPr>
          <w:rFonts w:eastAsiaTheme="minorHAnsi"/>
          <w:color w:val="000000"/>
          <w:sz w:val="24"/>
          <w:szCs w:val="24"/>
        </w:rPr>
      </w:pPr>
      <w:r w:rsidRPr="00590C93">
        <w:rPr>
          <w:rFonts w:eastAsiaTheme="minorHAnsi"/>
          <w:color w:val="000000"/>
          <w:sz w:val="24"/>
          <w:szCs w:val="24"/>
        </w:rPr>
        <w:t xml:space="preserve">2. Additional fields cascade for </w:t>
      </w:r>
      <w:r w:rsidRPr="00590C93">
        <w:rPr>
          <w:rFonts w:eastAsiaTheme="minorHAnsi"/>
          <w:b/>
          <w:bCs/>
          <w:color w:val="000000"/>
          <w:sz w:val="24"/>
          <w:szCs w:val="24"/>
        </w:rPr>
        <w:t>Patient Factors</w:t>
      </w:r>
      <w:r w:rsidRPr="00590C93">
        <w:rPr>
          <w:rFonts w:eastAsiaTheme="minorHAnsi"/>
          <w:color w:val="000000"/>
          <w:sz w:val="24"/>
          <w:szCs w:val="24"/>
        </w:rPr>
        <w:t xml:space="preserve">, </w:t>
      </w:r>
      <w:r w:rsidRPr="00590C93">
        <w:rPr>
          <w:rFonts w:eastAsiaTheme="minorHAnsi"/>
          <w:b/>
          <w:bCs/>
          <w:color w:val="000000"/>
          <w:sz w:val="24"/>
          <w:szCs w:val="24"/>
        </w:rPr>
        <w:t>Age</w:t>
      </w:r>
      <w:r w:rsidRPr="00590C93">
        <w:rPr>
          <w:rFonts w:eastAsiaTheme="minorHAnsi"/>
          <w:color w:val="000000"/>
          <w:sz w:val="24"/>
          <w:szCs w:val="24"/>
        </w:rPr>
        <w:t xml:space="preserve">, and </w:t>
      </w:r>
      <w:r w:rsidRPr="00590C93">
        <w:rPr>
          <w:rFonts w:eastAsiaTheme="minorHAnsi"/>
          <w:b/>
          <w:bCs/>
          <w:color w:val="000000"/>
          <w:sz w:val="24"/>
          <w:szCs w:val="24"/>
        </w:rPr>
        <w:t>GCS Score</w:t>
      </w:r>
      <w:r w:rsidRPr="00590C93">
        <w:rPr>
          <w:rFonts w:eastAsiaTheme="minorHAnsi"/>
          <w:color w:val="000000"/>
          <w:sz w:val="24"/>
          <w:szCs w:val="24"/>
        </w:rPr>
        <w:t xml:space="preserve">. </w:t>
      </w:r>
    </w:p>
    <w:p w:rsidR="00590C93" w:rsidRPr="00590C93" w:rsidRDefault="00590C93" w:rsidP="00590C93">
      <w:pPr>
        <w:overflowPunct/>
        <w:spacing w:after="22"/>
        <w:rPr>
          <w:rFonts w:eastAsiaTheme="minorHAnsi"/>
          <w:color w:val="000000"/>
          <w:sz w:val="24"/>
          <w:szCs w:val="24"/>
        </w:rPr>
      </w:pPr>
      <w:r w:rsidRPr="00590C93">
        <w:rPr>
          <w:rFonts w:eastAsiaTheme="minorHAnsi"/>
          <w:color w:val="000000"/>
          <w:sz w:val="24"/>
          <w:szCs w:val="24"/>
        </w:rPr>
        <w:t xml:space="preserve">3. For </w:t>
      </w:r>
      <w:r w:rsidRPr="00590C93">
        <w:rPr>
          <w:rFonts w:eastAsiaTheme="minorHAnsi"/>
          <w:b/>
          <w:bCs/>
          <w:color w:val="000000"/>
          <w:sz w:val="24"/>
          <w:szCs w:val="24"/>
        </w:rPr>
        <w:t>Patient Factors</w:t>
      </w:r>
      <w:r w:rsidRPr="00590C93">
        <w:rPr>
          <w:rFonts w:eastAsiaTheme="minorHAnsi"/>
          <w:color w:val="000000"/>
          <w:sz w:val="24"/>
          <w:szCs w:val="24"/>
        </w:rPr>
        <w:t xml:space="preserve">, indicate the relevant patient factors. Note that some factors may auto-populate based on documentation in the patient chart. </w:t>
      </w:r>
    </w:p>
    <w:p w:rsidR="00590C93" w:rsidRPr="00590C93" w:rsidRDefault="00590C93" w:rsidP="00590C93">
      <w:pPr>
        <w:overflowPunct/>
        <w:spacing w:after="22"/>
        <w:rPr>
          <w:rFonts w:eastAsiaTheme="minorHAnsi"/>
          <w:color w:val="000000"/>
          <w:sz w:val="24"/>
          <w:szCs w:val="24"/>
        </w:rPr>
      </w:pPr>
      <w:r w:rsidRPr="00590C93">
        <w:rPr>
          <w:rFonts w:eastAsiaTheme="minorHAnsi"/>
          <w:color w:val="000000"/>
          <w:sz w:val="24"/>
          <w:szCs w:val="24"/>
        </w:rPr>
        <w:t xml:space="preserve">4. For </w:t>
      </w:r>
      <w:r w:rsidRPr="00590C93">
        <w:rPr>
          <w:rFonts w:eastAsiaTheme="minorHAnsi"/>
          <w:b/>
          <w:bCs/>
          <w:color w:val="000000"/>
          <w:sz w:val="24"/>
          <w:szCs w:val="24"/>
        </w:rPr>
        <w:t>Age</w:t>
      </w:r>
      <w:r w:rsidRPr="00590C93">
        <w:rPr>
          <w:rFonts w:eastAsiaTheme="minorHAnsi"/>
          <w:color w:val="000000"/>
          <w:sz w:val="24"/>
          <w:szCs w:val="24"/>
        </w:rPr>
        <w:t xml:space="preserve">, the patient </w:t>
      </w:r>
      <w:r w:rsidRPr="00590C93">
        <w:rPr>
          <w:rFonts w:eastAsiaTheme="minorHAnsi"/>
          <w:b/>
          <w:bCs/>
          <w:color w:val="000000"/>
          <w:sz w:val="24"/>
          <w:szCs w:val="24"/>
        </w:rPr>
        <w:t xml:space="preserve">age will auto-populate </w:t>
      </w:r>
      <w:r w:rsidRPr="00590C93">
        <w:rPr>
          <w:rFonts w:eastAsiaTheme="minorHAnsi"/>
          <w:color w:val="000000"/>
          <w:sz w:val="24"/>
          <w:szCs w:val="24"/>
        </w:rPr>
        <w:t xml:space="preserve">based on patient age documented in the chart. </w:t>
      </w:r>
    </w:p>
    <w:p w:rsidR="00590C93" w:rsidRPr="00590C93" w:rsidRDefault="00590C93" w:rsidP="00590C93">
      <w:pPr>
        <w:overflowPunct/>
        <w:rPr>
          <w:rFonts w:eastAsiaTheme="minorHAnsi"/>
          <w:color w:val="000000"/>
          <w:sz w:val="24"/>
          <w:szCs w:val="24"/>
        </w:rPr>
      </w:pPr>
      <w:r w:rsidRPr="00590C93">
        <w:rPr>
          <w:rFonts w:eastAsiaTheme="minorHAnsi"/>
          <w:color w:val="000000"/>
          <w:sz w:val="24"/>
          <w:szCs w:val="24"/>
        </w:rPr>
        <w:lastRenderedPageBreak/>
        <w:t xml:space="preserve">5. The </w:t>
      </w:r>
      <w:r w:rsidRPr="00590C93">
        <w:rPr>
          <w:rFonts w:eastAsiaTheme="minorHAnsi"/>
          <w:b/>
          <w:bCs/>
          <w:color w:val="000000"/>
          <w:sz w:val="24"/>
          <w:szCs w:val="24"/>
        </w:rPr>
        <w:t xml:space="preserve">GCS Score </w:t>
      </w:r>
      <w:r w:rsidRPr="00590C93">
        <w:rPr>
          <w:rFonts w:eastAsiaTheme="minorHAnsi"/>
          <w:color w:val="000000"/>
          <w:sz w:val="24"/>
          <w:szCs w:val="24"/>
        </w:rPr>
        <w:t xml:space="preserve">(Glasgow Coma Scale) will auto-populate if the Emergency Department clinicians documented the score within the last 24 hours. </w:t>
      </w:r>
    </w:p>
    <w:p w:rsidR="00633CAB" w:rsidRPr="00633CAB" w:rsidRDefault="00590C93" w:rsidP="00590C93">
      <w:pPr>
        <w:overflowPunct/>
        <w:rPr>
          <w:rFonts w:eastAsiaTheme="minorHAnsi"/>
          <w:color w:val="000000"/>
          <w:sz w:val="24"/>
          <w:szCs w:val="24"/>
        </w:rPr>
      </w:pPr>
      <w:r w:rsidRPr="00590C93">
        <w:rPr>
          <w:rFonts w:eastAsiaTheme="minorHAnsi"/>
          <w:color w:val="000000"/>
          <w:sz w:val="24"/>
          <w:szCs w:val="24"/>
        </w:rPr>
        <w:t>a. If the GCS Score was not completed or completed more than 24 hours ago, the score nee</w:t>
      </w:r>
      <w:r w:rsidR="00633CAB" w:rsidRPr="00633CAB">
        <w:rPr>
          <w:rFonts w:eastAsiaTheme="minorHAnsi"/>
          <w:color w:val="000000"/>
          <w:sz w:val="24"/>
          <w:szCs w:val="24"/>
        </w:rPr>
        <w:t>ds to be manually entered here.</w:t>
      </w:r>
    </w:p>
    <w:p w:rsidR="00633CAB" w:rsidRPr="00633CAB" w:rsidRDefault="00590C93" w:rsidP="00633CAB">
      <w:pPr>
        <w:overflowPunct/>
        <w:rPr>
          <w:rFonts w:eastAsiaTheme="minorHAnsi"/>
          <w:color w:val="000000"/>
          <w:sz w:val="24"/>
          <w:szCs w:val="24"/>
        </w:rPr>
      </w:pPr>
      <w:r w:rsidRPr="00590C93">
        <w:rPr>
          <w:rFonts w:eastAsiaTheme="minorHAnsi"/>
          <w:color w:val="000000"/>
          <w:sz w:val="24"/>
          <w:szCs w:val="24"/>
        </w:rPr>
        <w:t xml:space="preserve">6. As selections are made and documentation completed, the </w:t>
      </w:r>
      <w:r w:rsidRPr="00590C93">
        <w:rPr>
          <w:rFonts w:eastAsiaTheme="minorHAnsi"/>
          <w:b/>
          <w:bCs/>
          <w:color w:val="000000"/>
          <w:sz w:val="24"/>
          <w:szCs w:val="24"/>
        </w:rPr>
        <w:t xml:space="preserve">Total Risk Factor Score </w:t>
      </w:r>
      <w:r w:rsidRPr="00590C93">
        <w:rPr>
          <w:rFonts w:eastAsiaTheme="minorHAnsi"/>
          <w:color w:val="000000"/>
          <w:sz w:val="24"/>
          <w:szCs w:val="24"/>
        </w:rPr>
        <w:t xml:space="preserve">and </w:t>
      </w:r>
      <w:r w:rsidRPr="00590C93">
        <w:rPr>
          <w:rFonts w:eastAsiaTheme="minorHAnsi"/>
          <w:b/>
          <w:bCs/>
          <w:color w:val="000000"/>
          <w:sz w:val="24"/>
          <w:szCs w:val="24"/>
        </w:rPr>
        <w:t xml:space="preserve">Risk Level </w:t>
      </w:r>
      <w:r w:rsidR="00633CAB" w:rsidRPr="00633CAB">
        <w:rPr>
          <w:rFonts w:eastAsiaTheme="minorHAnsi"/>
          <w:color w:val="000000"/>
          <w:sz w:val="24"/>
          <w:szCs w:val="24"/>
        </w:rPr>
        <w:t>adjust accordingly.</w:t>
      </w:r>
    </w:p>
    <w:p w:rsidR="00633CAB" w:rsidRPr="00633CAB" w:rsidRDefault="00633CAB" w:rsidP="00633CAB">
      <w:pPr>
        <w:overflowPunct/>
        <w:rPr>
          <w:rFonts w:eastAsiaTheme="minorHAnsi"/>
          <w:color w:val="000000"/>
          <w:sz w:val="24"/>
          <w:szCs w:val="24"/>
        </w:rPr>
      </w:pPr>
    </w:p>
    <w:p w:rsidR="00633CAB" w:rsidRPr="00633CAB" w:rsidRDefault="00633CAB" w:rsidP="00633CAB">
      <w:pPr>
        <w:overflowPunct/>
        <w:rPr>
          <w:sz w:val="24"/>
          <w:szCs w:val="24"/>
        </w:rPr>
      </w:pPr>
      <w:r w:rsidRPr="00633CAB">
        <w:rPr>
          <w:sz w:val="24"/>
          <w:szCs w:val="24"/>
        </w:rPr>
        <w:t xml:space="preserve">This screening tool is in the admitting resident’s workflow, and can be easily accessed at any time from the clinical overview screen. The screening questions will assess the patient risk based on a clinical predictive model published by the Pacific Coast Surgical Association and approved by the Pediatric &amp; Adult Trauma QI Teams. </w:t>
      </w:r>
    </w:p>
    <w:p w:rsidR="00633CAB" w:rsidRPr="00633CAB" w:rsidRDefault="00633CAB" w:rsidP="00633CAB">
      <w:pPr>
        <w:rPr>
          <w:sz w:val="24"/>
          <w:szCs w:val="24"/>
        </w:rPr>
      </w:pPr>
    </w:p>
    <w:p w:rsidR="00590C93" w:rsidRDefault="00590C93" w:rsidP="00590C93">
      <w:pPr>
        <w:rPr>
          <w:sz w:val="24"/>
          <w:szCs w:val="24"/>
        </w:rPr>
      </w:pPr>
      <w:r>
        <w:rPr>
          <w:noProof/>
        </w:rPr>
        <w:drawing>
          <wp:inline distT="0" distB="0" distL="0" distR="0" wp14:anchorId="42B06797" wp14:editId="0482D151">
            <wp:extent cx="6176095" cy="16984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2341" cy="1708394"/>
                    </a:xfrm>
                    <a:prstGeom prst="rect">
                      <a:avLst/>
                    </a:prstGeom>
                  </pic:spPr>
                </pic:pic>
              </a:graphicData>
            </a:graphic>
          </wp:inline>
        </w:drawing>
      </w:r>
    </w:p>
    <w:p w:rsidR="00FE151F" w:rsidRDefault="00FE151F" w:rsidP="00590C93">
      <w:pPr>
        <w:rPr>
          <w:sz w:val="24"/>
          <w:szCs w:val="24"/>
        </w:rPr>
      </w:pPr>
    </w:p>
    <w:p w:rsidR="00FE151F" w:rsidRDefault="00633CAB" w:rsidP="00590C93">
      <w:pPr>
        <w:rPr>
          <w:b/>
          <w:sz w:val="24"/>
          <w:szCs w:val="24"/>
        </w:rPr>
      </w:pPr>
      <w:r w:rsidRPr="00633CAB">
        <w:rPr>
          <w:b/>
          <w:sz w:val="24"/>
          <w:szCs w:val="24"/>
        </w:rPr>
        <w:t>Risk Factor Scoring</w:t>
      </w:r>
    </w:p>
    <w:p w:rsidR="00633CAB" w:rsidRPr="00633CAB" w:rsidRDefault="00633CAB" w:rsidP="00633CAB">
      <w:pPr>
        <w:rPr>
          <w:b/>
          <w:sz w:val="24"/>
          <w:szCs w:val="24"/>
        </w:rPr>
      </w:pPr>
      <w:r>
        <w:rPr>
          <w:sz w:val="23"/>
          <w:szCs w:val="23"/>
        </w:rPr>
        <w:t>As selections are made in the DVT/VTE Assessment form the Total Risk Factor Score auto-calculates and the Risk Level scale ranges from Low to High.</w:t>
      </w:r>
    </w:p>
    <w:p w:rsidR="00633CAB" w:rsidRDefault="00633CAB" w:rsidP="00590C93"/>
    <w:p w:rsidR="00FE151F" w:rsidRDefault="00633CAB" w:rsidP="00590C93">
      <w:pPr>
        <w:rPr>
          <w:b/>
        </w:rPr>
      </w:pPr>
      <w:r>
        <w:rPr>
          <w:b/>
        </w:rPr>
        <w:t xml:space="preserve">Pediatric Trauma/Burn </w:t>
      </w:r>
      <w:r w:rsidRPr="00633CAB">
        <w:rPr>
          <w:b/>
        </w:rPr>
        <w:t>Risk Factor</w:t>
      </w:r>
    </w:p>
    <w:p w:rsidR="00633CAB" w:rsidRPr="00633CAB" w:rsidRDefault="00633CAB" w:rsidP="00590C93">
      <w:pPr>
        <w:rPr>
          <w:b/>
        </w:rPr>
      </w:pPr>
      <w:r w:rsidRPr="00633CAB">
        <w:rPr>
          <w:b/>
          <w:noProof/>
        </w:rPr>
        <w:drawing>
          <wp:inline distT="0" distB="0" distL="0" distR="0">
            <wp:extent cx="3148013" cy="7257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0498" cy="728645"/>
                    </a:xfrm>
                    <a:prstGeom prst="rect">
                      <a:avLst/>
                    </a:prstGeom>
                    <a:noFill/>
                    <a:ln>
                      <a:noFill/>
                    </a:ln>
                  </pic:spPr>
                </pic:pic>
              </a:graphicData>
            </a:graphic>
          </wp:inline>
        </w:drawing>
      </w:r>
    </w:p>
    <w:p w:rsidR="00590C93" w:rsidRDefault="00590C93" w:rsidP="00590C93">
      <w:pPr>
        <w:rPr>
          <w:rFonts w:ascii="GuardianSans-RegularIt" w:hAnsi="GuardianSans-RegularIt" w:cs="GuardianSans-RegularIt"/>
          <w:iCs/>
          <w:color w:val="1A171C"/>
        </w:rPr>
      </w:pPr>
    </w:p>
    <w:p w:rsidR="00633CAB" w:rsidRDefault="00633CAB" w:rsidP="00590C93">
      <w:pPr>
        <w:rPr>
          <w:rFonts w:ascii="GuardianSans-RegularIt" w:hAnsi="GuardianSans-RegularIt" w:cs="GuardianSans-RegularIt"/>
          <w:b/>
          <w:iCs/>
          <w:color w:val="1A171C"/>
        </w:rPr>
      </w:pPr>
      <w:r w:rsidRPr="00633CAB">
        <w:rPr>
          <w:rFonts w:ascii="GuardianSans-RegularIt" w:hAnsi="GuardianSans-RegularIt" w:cs="GuardianSans-RegularIt"/>
          <w:b/>
          <w:iCs/>
          <w:color w:val="1A171C"/>
        </w:rPr>
        <w:t>Risk Factor Summary</w:t>
      </w:r>
    </w:p>
    <w:p w:rsidR="00633CAB" w:rsidRPr="00633CAB" w:rsidRDefault="00633CAB" w:rsidP="00590C93">
      <w:pPr>
        <w:rPr>
          <w:rFonts w:ascii="GuardianSans-RegularIt" w:hAnsi="GuardianSans-RegularIt" w:cs="GuardianSans-RegularIt"/>
          <w:b/>
          <w:iCs/>
          <w:color w:val="1A171C"/>
        </w:rPr>
      </w:pPr>
    </w:p>
    <w:p w:rsidR="00590C93" w:rsidRDefault="00633CAB" w:rsidP="00633CAB">
      <w:pPr>
        <w:pStyle w:val="ListParagraph"/>
        <w:numPr>
          <w:ilvl w:val="0"/>
          <w:numId w:val="3"/>
        </w:numPr>
        <w:rPr>
          <w:sz w:val="23"/>
          <w:szCs w:val="23"/>
        </w:rPr>
      </w:pPr>
      <w:r w:rsidRPr="00633CAB">
        <w:rPr>
          <w:sz w:val="23"/>
          <w:szCs w:val="23"/>
        </w:rPr>
        <w:t>Once the DVT/VTE Assessment form is complete, the Risk Factor Summary displays. The summary serves as an overview of the patient’s overall risk level and specific point assignments for the patient’s risk factors.</w:t>
      </w:r>
    </w:p>
    <w:p w:rsidR="00035C7E" w:rsidRDefault="00633CAB" w:rsidP="00633CAB">
      <w:pPr>
        <w:pStyle w:val="ListParagraph"/>
        <w:numPr>
          <w:ilvl w:val="0"/>
          <w:numId w:val="3"/>
        </w:numPr>
        <w:rPr>
          <w:sz w:val="23"/>
          <w:szCs w:val="23"/>
        </w:rPr>
      </w:pPr>
      <w:r>
        <w:rPr>
          <w:sz w:val="23"/>
          <w:szCs w:val="23"/>
        </w:rPr>
        <w:t>Based upon the patients</w:t>
      </w:r>
      <w:r w:rsidR="00035C7E">
        <w:rPr>
          <w:sz w:val="23"/>
          <w:szCs w:val="23"/>
        </w:rPr>
        <w:t>’</w:t>
      </w:r>
      <w:r>
        <w:rPr>
          <w:sz w:val="23"/>
          <w:szCs w:val="23"/>
        </w:rPr>
        <w:t xml:space="preserve"> risk factory summary the coinciding orders </w:t>
      </w:r>
      <w:r w:rsidR="00035C7E">
        <w:rPr>
          <w:sz w:val="23"/>
          <w:szCs w:val="23"/>
        </w:rPr>
        <w:t>for the risk factory summary w</w:t>
      </w:r>
      <w:r>
        <w:rPr>
          <w:sz w:val="23"/>
          <w:szCs w:val="23"/>
        </w:rPr>
        <w:t>ill populate</w:t>
      </w:r>
      <w:r w:rsidR="00035C7E">
        <w:rPr>
          <w:sz w:val="23"/>
          <w:szCs w:val="23"/>
        </w:rPr>
        <w:t>.</w:t>
      </w:r>
    </w:p>
    <w:p w:rsidR="00A55E42" w:rsidRDefault="00A55E42" w:rsidP="00633CAB">
      <w:pPr>
        <w:pStyle w:val="ListParagraph"/>
        <w:numPr>
          <w:ilvl w:val="0"/>
          <w:numId w:val="3"/>
        </w:numPr>
        <w:rPr>
          <w:sz w:val="23"/>
          <w:szCs w:val="23"/>
        </w:rPr>
      </w:pPr>
      <w:r>
        <w:rPr>
          <w:sz w:val="23"/>
          <w:szCs w:val="23"/>
        </w:rPr>
        <w:t>Prior to administration of Lovenox in pediatric burns check Anti-10A</w:t>
      </w:r>
    </w:p>
    <w:p w:rsidR="00035C7E" w:rsidRDefault="00035C7E" w:rsidP="00035C7E">
      <w:pPr>
        <w:rPr>
          <w:sz w:val="23"/>
          <w:szCs w:val="23"/>
        </w:rPr>
      </w:pPr>
    </w:p>
    <w:p w:rsidR="00035C7E" w:rsidRDefault="00035C7E" w:rsidP="00035C7E">
      <w:pPr>
        <w:rPr>
          <w:sz w:val="23"/>
          <w:szCs w:val="23"/>
        </w:rPr>
      </w:pPr>
    </w:p>
    <w:p w:rsidR="00035C7E" w:rsidRDefault="00035C7E" w:rsidP="00035C7E">
      <w:pPr>
        <w:rPr>
          <w:sz w:val="23"/>
          <w:szCs w:val="23"/>
        </w:rPr>
      </w:pPr>
    </w:p>
    <w:p w:rsidR="00035C7E" w:rsidRDefault="00035C7E" w:rsidP="00035C7E">
      <w:pPr>
        <w:rPr>
          <w:sz w:val="23"/>
          <w:szCs w:val="23"/>
        </w:rPr>
      </w:pPr>
    </w:p>
    <w:p w:rsidR="00035C7E" w:rsidRDefault="00035C7E" w:rsidP="00035C7E">
      <w:pPr>
        <w:pStyle w:val="Default"/>
      </w:pPr>
    </w:p>
    <w:p w:rsidR="00035C7E" w:rsidRDefault="00035C7E" w:rsidP="00590C93">
      <w:pPr>
        <w:rPr>
          <w:sz w:val="23"/>
          <w:szCs w:val="23"/>
        </w:rPr>
      </w:pPr>
      <w:r w:rsidRPr="00035C7E">
        <w:rPr>
          <w:bCs/>
          <w:sz w:val="24"/>
          <w:szCs w:val="24"/>
        </w:rPr>
        <w:t>DVT Assessment Workflow – Pediatric (8-17)</w:t>
      </w:r>
      <w:r w:rsidR="00A30FE1">
        <w:rPr>
          <w:bCs/>
          <w:sz w:val="24"/>
          <w:szCs w:val="24"/>
        </w:rPr>
        <w:t xml:space="preserve"> </w:t>
      </w:r>
      <w:hyperlink r:id="rId9" w:history="1">
        <w:r w:rsidRPr="00C32073">
          <w:rPr>
            <w:rStyle w:val="Hyperlink"/>
            <w:sz w:val="23"/>
            <w:szCs w:val="23"/>
          </w:rPr>
          <w:t>http://epic.upstate.edu/documents/intra/dvt_assessment_workflow_guide_pediatric_2016.pdf</w:t>
        </w:r>
      </w:hyperlink>
      <w:r>
        <w:rPr>
          <w:sz w:val="23"/>
          <w:szCs w:val="23"/>
        </w:rPr>
        <w:t xml:space="preserve"> </w:t>
      </w:r>
    </w:p>
    <w:p w:rsidR="00633CAB" w:rsidRDefault="00035C7E" w:rsidP="00035C7E">
      <w:pPr>
        <w:jc w:val="center"/>
        <w:rPr>
          <w:rFonts w:ascii="GuardianSans-RegularIt" w:hAnsi="GuardianSans-RegularIt" w:cs="GuardianSans-RegularIt"/>
          <w:iCs/>
          <w:color w:val="1A171C"/>
        </w:rPr>
      </w:pPr>
      <w:r>
        <w:rPr>
          <w:rFonts w:ascii="GuardianSans-RegularIt" w:hAnsi="GuardianSans-RegularIt" w:cs="GuardianSans-RegularIt"/>
          <w:iCs/>
          <w:color w:val="1A171C"/>
        </w:rPr>
        <w:lastRenderedPageBreak/>
        <w:t>References:</w:t>
      </w:r>
    </w:p>
    <w:p w:rsidR="00035C7E" w:rsidRPr="00035C7E" w:rsidRDefault="00035C7E" w:rsidP="00035C7E">
      <w:pPr>
        <w:jc w:val="center"/>
        <w:rPr>
          <w:sz w:val="23"/>
          <w:szCs w:val="23"/>
        </w:rPr>
      </w:pPr>
    </w:p>
    <w:p w:rsidR="00590C93" w:rsidRPr="00035C7E" w:rsidRDefault="00590C93" w:rsidP="00035C7E">
      <w:pPr>
        <w:ind w:left="720" w:hanging="720"/>
        <w:rPr>
          <w:color w:val="000000" w:themeColor="text1"/>
          <w:sz w:val="24"/>
          <w:szCs w:val="24"/>
        </w:rPr>
      </w:pPr>
      <w:r w:rsidRPr="00035C7E">
        <w:rPr>
          <w:iCs/>
          <w:color w:val="000000" w:themeColor="text1"/>
          <w:sz w:val="24"/>
          <w:szCs w:val="24"/>
        </w:rPr>
        <w:t>Connelly, CR et al “A Clinical Tool for the Prediction of Venous Thromboembolism in Pediatric Trauma Patients”</w:t>
      </w:r>
      <w:r w:rsidRPr="00035C7E">
        <w:rPr>
          <w:i/>
          <w:iCs/>
          <w:color w:val="000000" w:themeColor="text1"/>
          <w:sz w:val="24"/>
          <w:szCs w:val="24"/>
        </w:rPr>
        <w:t xml:space="preserve"> JAMA Surg</w:t>
      </w:r>
      <w:r w:rsidRPr="00035C7E">
        <w:rPr>
          <w:color w:val="000000" w:themeColor="text1"/>
          <w:sz w:val="24"/>
          <w:szCs w:val="24"/>
        </w:rPr>
        <w:t>. 2016;151(1):50-57. doi:10.1001/jamasurg.2015.2670</w:t>
      </w:r>
    </w:p>
    <w:p w:rsidR="00590C93" w:rsidRPr="00035C7E" w:rsidRDefault="00590C93" w:rsidP="00035C7E">
      <w:pPr>
        <w:ind w:left="720" w:hanging="720"/>
        <w:rPr>
          <w:color w:val="000000" w:themeColor="text1"/>
          <w:sz w:val="24"/>
          <w:szCs w:val="24"/>
        </w:rPr>
      </w:pPr>
    </w:p>
    <w:p w:rsidR="00035C7E" w:rsidRPr="00035C7E" w:rsidRDefault="00035C7E" w:rsidP="00035C7E">
      <w:pPr>
        <w:ind w:left="720" w:hanging="720"/>
        <w:rPr>
          <w:color w:val="000000" w:themeColor="text1"/>
          <w:sz w:val="24"/>
          <w:szCs w:val="24"/>
        </w:rPr>
      </w:pPr>
    </w:p>
    <w:p w:rsidR="00035C7E" w:rsidRPr="00035C7E" w:rsidRDefault="00035C7E" w:rsidP="00035C7E">
      <w:pPr>
        <w:ind w:left="720" w:hanging="720"/>
        <w:rPr>
          <w:color w:val="000000" w:themeColor="text1"/>
          <w:sz w:val="24"/>
          <w:szCs w:val="24"/>
        </w:rPr>
      </w:pPr>
      <w:r w:rsidRPr="00035C7E">
        <w:rPr>
          <w:color w:val="000000" w:themeColor="text1"/>
          <w:sz w:val="24"/>
          <w:szCs w:val="24"/>
        </w:rPr>
        <w:t xml:space="preserve">Connelly, C. R., Laird, A., Barton, J. S., Fischer, P. E., Krishnaswami, S., Schreiber, M. A., . . . Watters, J. M. (2016, January). A Clinical Tool for the Prediction of Venous Thromboembolism in Pediatric Trauma Patients. Retrieved March 23, 2018, from </w:t>
      </w:r>
      <w:hyperlink r:id="rId10" w:history="1">
        <w:r w:rsidRPr="00C32073">
          <w:rPr>
            <w:rStyle w:val="Hyperlink"/>
            <w:sz w:val="24"/>
            <w:szCs w:val="24"/>
          </w:rPr>
          <w:t>https://www.ncbi.nlm.nih.gov/pubmed/26422678</w:t>
        </w:r>
      </w:hyperlink>
      <w:r>
        <w:rPr>
          <w:color w:val="000000" w:themeColor="text1"/>
          <w:sz w:val="24"/>
          <w:szCs w:val="24"/>
        </w:rPr>
        <w:t xml:space="preserve"> </w:t>
      </w:r>
    </w:p>
    <w:sectPr w:rsidR="00035C7E" w:rsidRPr="00035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ardianSans-RegularI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F3F6A"/>
    <w:multiLevelType w:val="hybridMultilevel"/>
    <w:tmpl w:val="E39A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45398"/>
    <w:multiLevelType w:val="hybridMultilevel"/>
    <w:tmpl w:val="82F0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82DB3"/>
    <w:multiLevelType w:val="hybridMultilevel"/>
    <w:tmpl w:val="0A86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07"/>
    <w:rsid w:val="00035C7E"/>
    <w:rsid w:val="0044700E"/>
    <w:rsid w:val="00590C93"/>
    <w:rsid w:val="00633CAB"/>
    <w:rsid w:val="007E5328"/>
    <w:rsid w:val="008C3007"/>
    <w:rsid w:val="00A30FE1"/>
    <w:rsid w:val="00A55E42"/>
    <w:rsid w:val="00B86115"/>
    <w:rsid w:val="00EF6B61"/>
    <w:rsid w:val="00FE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10E2"/>
  <w15:chartTrackingRefBased/>
  <w15:docId w15:val="{7FE98D1D-58FD-4105-9BBD-379CEBA7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07"/>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007"/>
    <w:pPr>
      <w:ind w:left="720"/>
      <w:contextualSpacing/>
    </w:pPr>
  </w:style>
  <w:style w:type="paragraph" w:customStyle="1" w:styleId="Default">
    <w:name w:val="Default"/>
    <w:rsid w:val="008C300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35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ncbi.nlm.nih.gov/pubmed/26422678" TargetMode="External"/><Relationship Id="rId4" Type="http://schemas.openxmlformats.org/officeDocument/2006/relationships/webSettings" Target="webSettings.xml"/><Relationship Id="rId9" Type="http://schemas.openxmlformats.org/officeDocument/2006/relationships/hyperlink" Target="http://epic.upstate.edu/documents/intra/dvt_assessment_workflow_guide_pediatric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SUNY Upstate Medical</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Roberts</dc:creator>
  <cp:keywords/>
  <dc:description/>
  <cp:lastModifiedBy>Tamara Roberts</cp:lastModifiedBy>
  <cp:revision>2</cp:revision>
  <dcterms:created xsi:type="dcterms:W3CDTF">2018-03-23T15:25:00Z</dcterms:created>
  <dcterms:modified xsi:type="dcterms:W3CDTF">2018-05-31T17:02:00Z</dcterms:modified>
</cp:coreProperties>
</file>