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7" w:rsidRDefault="00142B37" w:rsidP="00AF72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2209">
        <w:rPr>
          <w:rFonts w:ascii="Arial" w:hAnsi="Arial" w:cs="Arial"/>
          <w:b/>
          <w:sz w:val="22"/>
          <w:szCs w:val="22"/>
        </w:rPr>
        <w:t>Laboratory:</w:t>
      </w:r>
      <w:r w:rsidRPr="00442209">
        <w:rPr>
          <w:rFonts w:ascii="Arial" w:hAnsi="Arial" w:cs="Arial"/>
          <w:sz w:val="22"/>
          <w:szCs w:val="22"/>
        </w:rPr>
        <w:t xml:space="preserve"> </w:t>
      </w:r>
      <w:r w:rsidR="00F6436A">
        <w:rPr>
          <w:rFonts w:ascii="Arial" w:hAnsi="Arial" w:cs="Arial"/>
          <w:sz w:val="22"/>
          <w:szCs w:val="22"/>
        </w:rPr>
        <w:t xml:space="preserve"> </w:t>
      </w:r>
      <w:r w:rsidR="00762829">
        <w:rPr>
          <w:rFonts w:ascii="Arial" w:hAnsi="Arial" w:cs="Arial"/>
          <w:sz w:val="22"/>
          <w:szCs w:val="22"/>
        </w:rPr>
        <w:t xml:space="preserve">The equipment listed below </w:t>
      </w:r>
      <w:proofErr w:type="gramStart"/>
      <w:r w:rsidR="00762829">
        <w:rPr>
          <w:rFonts w:ascii="Arial" w:hAnsi="Arial" w:cs="Arial"/>
          <w:sz w:val="22"/>
          <w:szCs w:val="22"/>
        </w:rPr>
        <w:t>are</w:t>
      </w:r>
      <w:proofErr w:type="gramEnd"/>
      <w:r w:rsidR="00762829">
        <w:rPr>
          <w:rFonts w:ascii="Arial" w:hAnsi="Arial" w:cs="Arial"/>
          <w:sz w:val="22"/>
          <w:szCs w:val="22"/>
        </w:rPr>
        <w:t xml:space="preserve"> under the direction of </w:t>
      </w:r>
      <w:r w:rsidR="00755B67">
        <w:rPr>
          <w:rFonts w:ascii="Arial" w:hAnsi="Arial" w:cs="Arial"/>
          <w:sz w:val="22"/>
          <w:szCs w:val="22"/>
        </w:rPr>
        <w:t xml:space="preserve">Dr. </w:t>
      </w:r>
      <w:r w:rsidR="00762829">
        <w:rPr>
          <w:rFonts w:ascii="Arial" w:hAnsi="Arial" w:cs="Arial"/>
          <w:sz w:val="22"/>
          <w:szCs w:val="22"/>
        </w:rPr>
        <w:t xml:space="preserve">Frank </w:t>
      </w:r>
      <w:r w:rsidR="00755B67">
        <w:rPr>
          <w:rFonts w:ascii="Arial" w:hAnsi="Arial" w:cs="Arial"/>
          <w:sz w:val="22"/>
          <w:szCs w:val="22"/>
        </w:rPr>
        <w:t>Middleton</w:t>
      </w:r>
      <w:r w:rsidR="00762829">
        <w:rPr>
          <w:rFonts w:ascii="Arial" w:hAnsi="Arial" w:cs="Arial"/>
          <w:sz w:val="22"/>
          <w:szCs w:val="22"/>
        </w:rPr>
        <w:t>,</w:t>
      </w:r>
      <w:r w:rsidR="00755B67">
        <w:rPr>
          <w:rFonts w:ascii="Arial" w:hAnsi="Arial" w:cs="Arial"/>
          <w:sz w:val="22"/>
          <w:szCs w:val="22"/>
        </w:rPr>
        <w:t xml:space="preserve"> </w:t>
      </w:r>
      <w:r w:rsidR="00762829">
        <w:rPr>
          <w:rFonts w:ascii="Arial" w:hAnsi="Arial" w:cs="Arial"/>
          <w:sz w:val="22"/>
          <w:szCs w:val="22"/>
        </w:rPr>
        <w:t xml:space="preserve">Director of the SUNY Molecular Analysis Core (SUNYMAC) at Upstate Medical University. Dr. Middleton holds appointments in </w:t>
      </w:r>
      <w:r w:rsidR="004B22B3">
        <w:rPr>
          <w:rFonts w:ascii="Arial" w:hAnsi="Arial" w:cs="Arial"/>
          <w:sz w:val="22"/>
          <w:szCs w:val="22"/>
        </w:rPr>
        <w:t>the Depar</w:t>
      </w:r>
      <w:r w:rsidR="00755B67">
        <w:rPr>
          <w:rFonts w:ascii="Arial" w:hAnsi="Arial" w:cs="Arial"/>
          <w:sz w:val="22"/>
          <w:szCs w:val="22"/>
        </w:rPr>
        <w:t>t</w:t>
      </w:r>
      <w:r w:rsidR="004B22B3">
        <w:rPr>
          <w:rFonts w:ascii="Arial" w:hAnsi="Arial" w:cs="Arial"/>
          <w:sz w:val="22"/>
          <w:szCs w:val="22"/>
        </w:rPr>
        <w:t xml:space="preserve">ment of </w:t>
      </w:r>
      <w:r w:rsidR="001669E5">
        <w:rPr>
          <w:rFonts w:ascii="Arial" w:hAnsi="Arial" w:cs="Arial"/>
          <w:sz w:val="22"/>
          <w:szCs w:val="22"/>
        </w:rPr>
        <w:t>Neuros</w:t>
      </w:r>
      <w:r w:rsidR="00762829">
        <w:rPr>
          <w:rFonts w:ascii="Arial" w:hAnsi="Arial" w:cs="Arial"/>
          <w:sz w:val="22"/>
          <w:szCs w:val="22"/>
        </w:rPr>
        <w:t xml:space="preserve">cience &amp; Physiology, </w:t>
      </w:r>
      <w:r w:rsidR="001669E5">
        <w:rPr>
          <w:rFonts w:ascii="Arial" w:hAnsi="Arial" w:cs="Arial"/>
          <w:sz w:val="22"/>
          <w:szCs w:val="22"/>
        </w:rPr>
        <w:t xml:space="preserve">the Department of Psychiatry and the Department of </w:t>
      </w:r>
      <w:r w:rsidR="00762829">
        <w:rPr>
          <w:rFonts w:ascii="Arial" w:hAnsi="Arial" w:cs="Arial"/>
          <w:sz w:val="22"/>
          <w:szCs w:val="22"/>
        </w:rPr>
        <w:t>Biochemistry</w:t>
      </w:r>
      <w:r w:rsidR="001669E5">
        <w:rPr>
          <w:rFonts w:ascii="Arial" w:hAnsi="Arial" w:cs="Arial"/>
          <w:sz w:val="22"/>
          <w:szCs w:val="22"/>
        </w:rPr>
        <w:t xml:space="preserve"> </w:t>
      </w:r>
      <w:r w:rsidR="00762829">
        <w:rPr>
          <w:rFonts w:ascii="Arial" w:hAnsi="Arial" w:cs="Arial"/>
          <w:sz w:val="22"/>
          <w:szCs w:val="22"/>
        </w:rPr>
        <w:t>&amp;</w:t>
      </w:r>
      <w:r w:rsidR="001669E5">
        <w:rPr>
          <w:rFonts w:ascii="Arial" w:hAnsi="Arial" w:cs="Arial"/>
          <w:sz w:val="22"/>
          <w:szCs w:val="22"/>
        </w:rPr>
        <w:t xml:space="preserve"> Molecular Biology at SUNY Upstate</w:t>
      </w:r>
      <w:r w:rsidR="00762829">
        <w:rPr>
          <w:rFonts w:ascii="Arial" w:hAnsi="Arial" w:cs="Arial"/>
          <w:sz w:val="22"/>
          <w:szCs w:val="22"/>
        </w:rPr>
        <w:t>. He established the SUNYMAC facility</w:t>
      </w:r>
      <w:r w:rsidR="00755B67">
        <w:rPr>
          <w:rFonts w:ascii="Arial" w:hAnsi="Arial" w:cs="Arial"/>
          <w:sz w:val="22"/>
          <w:szCs w:val="22"/>
        </w:rPr>
        <w:t xml:space="preserve"> </w:t>
      </w:r>
      <w:r w:rsidR="00762829">
        <w:rPr>
          <w:rFonts w:ascii="Arial" w:hAnsi="Arial" w:cs="Arial"/>
          <w:sz w:val="22"/>
          <w:szCs w:val="22"/>
        </w:rPr>
        <w:t>in 2002 and has served as director ever since. The core has performed more than 10,000 microarray and 1,000 next generation sequencing (NGS) experiments to date and f</w:t>
      </w:r>
      <w:r w:rsidR="001669E5">
        <w:rPr>
          <w:rFonts w:ascii="Arial" w:hAnsi="Arial" w:cs="Arial"/>
          <w:sz w:val="22"/>
          <w:szCs w:val="22"/>
        </w:rPr>
        <w:t xml:space="preserve">unctions as </w:t>
      </w:r>
      <w:r w:rsidR="00486CF9">
        <w:rPr>
          <w:rFonts w:ascii="Arial" w:hAnsi="Arial" w:cs="Arial"/>
          <w:sz w:val="22"/>
          <w:szCs w:val="22"/>
        </w:rPr>
        <w:t xml:space="preserve">a full-service </w:t>
      </w:r>
      <w:r w:rsidR="00762829">
        <w:rPr>
          <w:rFonts w:ascii="Arial" w:hAnsi="Arial" w:cs="Arial"/>
          <w:sz w:val="22"/>
          <w:szCs w:val="22"/>
        </w:rPr>
        <w:t xml:space="preserve">provider of these technologies, in addition to any required validation work involving real-time quantitative or digital qPCR, or multiplex protein assays. </w:t>
      </w:r>
      <w:r w:rsidR="001669E5">
        <w:rPr>
          <w:rFonts w:ascii="Arial" w:hAnsi="Arial" w:cs="Arial"/>
          <w:sz w:val="22"/>
          <w:szCs w:val="22"/>
        </w:rPr>
        <w:t xml:space="preserve">Major equipment </w:t>
      </w:r>
      <w:r w:rsidR="00486CF9">
        <w:rPr>
          <w:rFonts w:ascii="Arial" w:hAnsi="Arial" w:cs="Arial"/>
          <w:sz w:val="22"/>
          <w:szCs w:val="22"/>
        </w:rPr>
        <w:t>is</w:t>
      </w:r>
      <w:r w:rsidR="001669E5">
        <w:rPr>
          <w:rFonts w:ascii="Arial" w:hAnsi="Arial" w:cs="Arial"/>
          <w:sz w:val="22"/>
          <w:szCs w:val="22"/>
        </w:rPr>
        <w:t xml:space="preserve"> listed below</w:t>
      </w:r>
      <w:r w:rsidR="00285CE1">
        <w:rPr>
          <w:rFonts w:ascii="Arial" w:hAnsi="Arial" w:cs="Arial"/>
          <w:sz w:val="22"/>
          <w:szCs w:val="22"/>
        </w:rPr>
        <w:t>, by application</w:t>
      </w:r>
      <w:r w:rsidR="001669E5">
        <w:rPr>
          <w:rFonts w:ascii="Arial" w:hAnsi="Arial" w:cs="Arial"/>
          <w:sz w:val="22"/>
          <w:szCs w:val="22"/>
        </w:rPr>
        <w:t>:</w:t>
      </w:r>
    </w:p>
    <w:p w:rsidR="0015214B" w:rsidRPr="0015214B" w:rsidRDefault="0015214B" w:rsidP="00AF727B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tbl>
      <w:tblPr>
        <w:tblW w:w="10831" w:type="dxa"/>
        <w:tblInd w:w="93" w:type="dxa"/>
        <w:tblLook w:val="04A0"/>
      </w:tblPr>
      <w:tblGrid>
        <w:gridCol w:w="4922"/>
        <w:gridCol w:w="5909"/>
      </w:tblGrid>
      <w:tr w:rsidR="001E3B57" w:rsidRPr="001E3B57" w:rsidTr="00486CF9">
        <w:trPr>
          <w:trHeight w:val="198"/>
        </w:trPr>
        <w:tc>
          <w:tcPr>
            <w:tcW w:w="49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Application</w:t>
            </w:r>
          </w:p>
        </w:tc>
        <w:tc>
          <w:tcPr>
            <w:tcW w:w="59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Equipment</w:t>
            </w:r>
          </w:p>
        </w:tc>
      </w:tr>
      <w:tr w:rsidR="001E3B57" w:rsidRPr="001E3B57" w:rsidTr="00486CF9">
        <w:trPr>
          <w:trHeight w:val="296"/>
        </w:trPr>
        <w:tc>
          <w:tcPr>
            <w:tcW w:w="492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Automated dispensing into 96 or 384 well plates</w:t>
            </w:r>
          </w:p>
        </w:tc>
        <w:tc>
          <w:tcPr>
            <w:tcW w:w="590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Biotek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Microflo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Plate Dispenser</w:t>
            </w:r>
            <w:r w:rsidR="00446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B57" w:rsidRPr="001E3B57" w:rsidTr="00486CF9">
        <w:trPr>
          <w:trHeight w:val="296"/>
        </w:trPr>
        <w:tc>
          <w:tcPr>
            <w:tcW w:w="4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9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12275B" w:rsidRPr="001E3B57" w:rsidRDefault="001E3B57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Thermo Scientific Matrix Hydra</w:t>
            </w:r>
            <w:r w:rsidR="00446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B57" w:rsidRPr="001E3B57" w:rsidTr="004B01CA">
        <w:trPr>
          <w:trHeight w:val="335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Automated RNA, DNA, and protein extraction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2275B" w:rsidRPr="001E3B57" w:rsidRDefault="001E3B57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Qiagen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Qiacube</w:t>
            </w:r>
            <w:proofErr w:type="spellEnd"/>
            <w:r w:rsidR="00122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B57" w:rsidRPr="001E3B57" w:rsidTr="004B01CA">
        <w:trPr>
          <w:trHeight w:val="32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Chromatin shearing for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immunoprecipitation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ChIP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B96F24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Covaris</w:t>
            </w:r>
            <w:proofErr w:type="spellEnd"/>
            <w:r w:rsidRPr="00B96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M220 Focused-</w:t>
            </w:r>
            <w:proofErr w:type="spellStart"/>
            <w:r w:rsidRPr="00B96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ultrasonicator</w:t>
            </w:r>
            <w:proofErr w:type="spellEnd"/>
          </w:p>
        </w:tc>
      </w:tr>
      <w:tr w:rsidR="001E3B57" w:rsidRPr="001E3B57" w:rsidTr="004B01CA">
        <w:trPr>
          <w:trHeight w:val="29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Cross-linking of RNA or DNA to membranes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BioRad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GS UV Gene Linker, Gel Dryer, vacuum pump</w:t>
            </w:r>
            <w:r w:rsidR="00E25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B57" w:rsidRPr="001E3B57" w:rsidTr="004B01CA">
        <w:trPr>
          <w:trHeight w:val="335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1E3B57" w:rsidRPr="001E3B57" w:rsidRDefault="001E3B57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Gel preparation and analysis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UVP High Performance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UltraViolet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Transilluminator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73A02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Spectroline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UV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transilluminator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73A02" w:rsidRPr="001E3B57" w:rsidRDefault="00873A02" w:rsidP="00904E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Bio-Rad </w:t>
            </w:r>
            <w:proofErr w:type="spellStart"/>
            <w:r w:rsidR="00904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Chemi</w:t>
            </w:r>
            <w:proofErr w:type="spellEnd"/>
            <w:r w:rsidR="00904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D</w:t>
            </w: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oc </w:t>
            </w:r>
          </w:p>
        </w:tc>
      </w:tr>
      <w:tr w:rsidR="00873A02" w:rsidRPr="001E3B57" w:rsidTr="004B01CA">
        <w:trPr>
          <w:trHeight w:val="198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General lab procedures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Refrigerated and non-refrigerated centrifuges, high speed centrifuges, h</w:t>
            </w: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otplates,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minifuges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, vortexes, pH meters, scales, water bath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s, ovens, fume hoods</w:t>
            </w:r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(including </w:t>
            </w:r>
            <w:proofErr w:type="spellStart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perchloric</w:t>
            </w:r>
            <w:proofErr w:type="spellEnd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acid)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ultra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sonicator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tissue homogenizer,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vacufuge</w:t>
            </w:r>
            <w:proofErr w:type="spellEnd"/>
            <w:r w:rsidR="00B97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, refrige</w:t>
            </w:r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rators, freezers (-20 and -80C), </w:t>
            </w:r>
            <w:proofErr w:type="spellStart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Milli</w:t>
            </w:r>
            <w:proofErr w:type="spellEnd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-Q </w:t>
            </w:r>
            <w:proofErr w:type="spellStart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UFMilli</w:t>
            </w:r>
            <w:proofErr w:type="spellEnd"/>
            <w:r w:rsidR="00841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-RO water systems</w:t>
            </w:r>
          </w:p>
        </w:tc>
      </w:tr>
      <w:tr w:rsidR="00873A02" w:rsidRPr="001E3B57" w:rsidTr="004B01CA">
        <w:trPr>
          <w:trHeight w:val="198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ELISA; luciferase assays</w:t>
            </w:r>
            <w:r w:rsidR="00486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 DNA/RNA quantification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Biotek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plate reader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A02" w:rsidRPr="001E3B57" w:rsidTr="004B01CA">
        <w:trPr>
          <w:trHeight w:val="198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High throughput PCR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73A02" w:rsidRPr="001E3B57" w:rsidRDefault="00873A02" w:rsidP="000D34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Bio-Rad Tetrad thermal cycler</w:t>
            </w:r>
          </w:p>
        </w:tc>
      </w:tr>
      <w:tr w:rsidR="00B97133" w:rsidRPr="001E3B57" w:rsidTr="004B01CA">
        <w:trPr>
          <w:trHeight w:val="37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Laser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microdissection</w:t>
            </w:r>
            <w:proofErr w:type="spellEnd"/>
            <w:r w:rsidR="00A13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and tissue processing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A138D7" w:rsidRDefault="00A138D7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Leica Cryostat</w:t>
            </w:r>
          </w:p>
          <w:p w:rsidR="00B97133" w:rsidRPr="001E3B57" w:rsidRDefault="00B97133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Leica AS-LMD Microscope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133" w:rsidRPr="001E3B57" w:rsidTr="004B01CA">
        <w:trPr>
          <w:trHeight w:val="31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Luminex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-based multiplex RNA or protein assays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Bio-Rad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BioPlex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200 System w/Pro II wash station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133" w:rsidRPr="001E3B57" w:rsidTr="004B01CA">
        <w:trPr>
          <w:trHeight w:val="38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Microarray processing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2A2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Affymetrix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Hybiridization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ovens (2),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Microfluidics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system (</w:t>
            </w:r>
            <w:r w:rsidR="002A2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), 7G/4C Scanner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133" w:rsidRPr="001E3B57" w:rsidTr="004B01CA">
        <w:trPr>
          <w:trHeight w:val="335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Next-generation sequencing 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Default="00B97133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Illumina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MiSeq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(50M paired-end reads, up to 15 </w:t>
            </w:r>
            <w:proofErr w:type="spellStart"/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Gbase</w:t>
            </w:r>
            <w:proofErr w:type="spellEnd"/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/run)</w:t>
            </w:r>
          </w:p>
          <w:p w:rsidR="00486CF9" w:rsidRPr="001E3B57" w:rsidRDefault="00486CF9" w:rsidP="00425A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Illumina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96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Next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Seq</w:t>
            </w:r>
            <w:r w:rsidR="00B96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500</w:t>
            </w:r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(800M paired-end reads, &gt;120 </w:t>
            </w:r>
            <w:proofErr w:type="spellStart"/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Gbase</w:t>
            </w:r>
            <w:proofErr w:type="spellEnd"/>
            <w:r w:rsidR="00425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/run)</w:t>
            </w:r>
          </w:p>
        </w:tc>
      </w:tr>
      <w:tr w:rsidR="00B97133" w:rsidRPr="001E3B57" w:rsidTr="004B01CA">
        <w:trPr>
          <w:trHeight w:val="365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Nucleic acid/protein separation and quantification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0D34D2" w:rsidRDefault="000D34D2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Qubit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3.0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Fluorometer</w:t>
            </w:r>
            <w:proofErr w:type="spellEnd"/>
          </w:p>
          <w:p w:rsidR="00B97133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Thermo Scientific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NanoDrop</w:t>
            </w:r>
            <w:proofErr w:type="spellEnd"/>
          </w:p>
          <w:p w:rsidR="00B97133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Eppendorf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BioPhotometer</w:t>
            </w:r>
            <w:proofErr w:type="spellEnd"/>
            <w:r w:rsidR="00B3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97133" w:rsidRDefault="00B97133" w:rsidP="00B31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Life Technologies Horizontal Gel Electrophoresis </w:t>
            </w:r>
            <w:r w:rsidR="00B3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</w:p>
          <w:p w:rsidR="00B31916" w:rsidRPr="001E3B57" w:rsidRDefault="00B31916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Mini-, medium and large horizontal gel boxes</w:t>
            </w:r>
          </w:p>
        </w:tc>
      </w:tr>
      <w:tr w:rsidR="00B97133" w:rsidRPr="001E3B57" w:rsidTr="004B01CA">
        <w:trPr>
          <w:trHeight w:val="326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RNA, DNA, and protein QA/QC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97133" w:rsidRPr="001E3B57" w:rsidRDefault="00B97133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Agilent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Bioanalyzer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3231" w:rsidRPr="001E3B57" w:rsidTr="004B01CA">
        <w:trPr>
          <w:trHeight w:val="198"/>
        </w:trPr>
        <w:tc>
          <w:tcPr>
            <w:tcW w:w="4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C3231" w:rsidRPr="001E3B57" w:rsidRDefault="001C3231" w:rsidP="001C32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Routine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and real time quantitative </w:t>
            </w: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PCR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C3231" w:rsidRDefault="001C3231" w:rsidP="001C32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Eppendorf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MasterCycler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Gradient</w:t>
            </w:r>
            <w:r w:rsidR="00486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C3231" w:rsidRDefault="001C3231" w:rsidP="001C32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Thermo Scientific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Arktic</w:t>
            </w:r>
            <w:proofErr w:type="spellEnd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3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Thermocycler</w:t>
            </w:r>
            <w:proofErr w:type="spellEnd"/>
          </w:p>
          <w:p w:rsidR="00DC26E2" w:rsidRDefault="00904E8A" w:rsidP="001C32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Bio-Rad QX200 Droplet Digital</w:t>
            </w:r>
            <w:r w:rsidRPr="00904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PCR System</w:t>
            </w:r>
          </w:p>
          <w:p w:rsidR="00904E8A" w:rsidRPr="001E3B57" w:rsidRDefault="00904E8A" w:rsidP="001C32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Bio-Rad CFX384 Touch</w:t>
            </w:r>
            <w:r w:rsidR="00762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Real-Time </w:t>
            </w:r>
            <w:r w:rsidRPr="00904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PCR Detection System</w:t>
            </w:r>
          </w:p>
        </w:tc>
      </w:tr>
      <w:tr w:rsidR="00486CF9" w:rsidRPr="001E3B57" w:rsidTr="004B01CA">
        <w:trPr>
          <w:trHeight w:val="198"/>
        </w:trPr>
        <w:tc>
          <w:tcPr>
            <w:tcW w:w="49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:rsidR="00486CF9" w:rsidRDefault="00486CF9" w:rsidP="001227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NGS sequencing analysis software</w:t>
            </w:r>
          </w:p>
        </w:tc>
        <w:tc>
          <w:tcPr>
            <w:tcW w:w="59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:rsidR="00486CF9" w:rsidRDefault="00425AC0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Strand</w:t>
            </w:r>
            <w:bookmarkStart w:id="0" w:name="_GoBack"/>
            <w:bookmarkEnd w:id="0"/>
            <w:r w:rsidR="00486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NGS - alignment, whole-genome</w:t>
            </w:r>
            <w:r w:rsidR="00F64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="00F64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exome</w:t>
            </w:r>
            <w:proofErr w:type="spellEnd"/>
            <w:r w:rsidR="00F64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="00F64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methylome</w:t>
            </w:r>
            <w:proofErr w:type="spellEnd"/>
            <w:r w:rsidR="00486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86CF9" w:rsidRDefault="00486CF9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Partek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Flow - RNA-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Seq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ChIP-Seq</w:t>
            </w:r>
            <w:proofErr w:type="spellEnd"/>
          </w:p>
          <w:p w:rsidR="00486CF9" w:rsidRDefault="00F6436A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Partek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Genomics Suite - advanced statistical data mining</w:t>
            </w:r>
          </w:p>
          <w:p w:rsidR="00F6436A" w:rsidRDefault="00F6436A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IPA (Ingenuity) - advanced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bioinformatic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/pathway analysis</w:t>
            </w:r>
          </w:p>
          <w:p w:rsidR="00F6436A" w:rsidRDefault="00F6436A" w:rsidP="00486C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Sequencher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(Gene Codes)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metagenomics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methylation</w:t>
            </w:r>
            <w:proofErr w:type="spellEnd"/>
          </w:p>
        </w:tc>
      </w:tr>
    </w:tbl>
    <w:p w:rsidR="001669E5" w:rsidRPr="0015214B" w:rsidRDefault="001669E5" w:rsidP="00AF727B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AD6A88" w:rsidRPr="00F6436A" w:rsidRDefault="00F6436A" w:rsidP="00F643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3B57">
        <w:rPr>
          <w:rFonts w:ascii="Arial" w:hAnsi="Arial" w:cs="Arial"/>
          <w:sz w:val="22"/>
          <w:szCs w:val="22"/>
        </w:rPr>
        <w:t>SUNY</w:t>
      </w:r>
      <w:r w:rsidR="00762829">
        <w:rPr>
          <w:rFonts w:ascii="Arial" w:hAnsi="Arial" w:cs="Arial"/>
          <w:sz w:val="22"/>
          <w:szCs w:val="22"/>
        </w:rPr>
        <w:t>MAC facility</w:t>
      </w:r>
      <w:r>
        <w:rPr>
          <w:rFonts w:ascii="Arial" w:hAnsi="Arial" w:cs="Arial"/>
          <w:sz w:val="22"/>
          <w:szCs w:val="22"/>
        </w:rPr>
        <w:t xml:space="preserve"> </w:t>
      </w:r>
      <w:r w:rsidR="001F4DD8">
        <w:rPr>
          <w:rFonts w:ascii="Arial" w:hAnsi="Arial" w:cs="Arial"/>
          <w:sz w:val="22"/>
          <w:szCs w:val="22"/>
        </w:rPr>
        <w:t xml:space="preserve">occupies a </w:t>
      </w:r>
      <w:r w:rsidR="002427F5">
        <w:rPr>
          <w:rFonts w:ascii="Arial" w:hAnsi="Arial" w:cs="Arial"/>
          <w:sz w:val="22"/>
          <w:szCs w:val="22"/>
        </w:rPr>
        <w:t>1</w:t>
      </w:r>
      <w:r w:rsidR="00D642FE">
        <w:rPr>
          <w:rFonts w:ascii="Arial" w:hAnsi="Arial" w:cs="Arial"/>
          <w:sz w:val="22"/>
          <w:szCs w:val="22"/>
        </w:rPr>
        <w:t>7</w:t>
      </w:r>
      <w:r w:rsidR="001F4DD8">
        <w:rPr>
          <w:rFonts w:ascii="Arial" w:hAnsi="Arial" w:cs="Arial"/>
          <w:sz w:val="22"/>
          <w:szCs w:val="22"/>
        </w:rPr>
        <w:t xml:space="preserve">00 sq ft suite of labs in the newly-constructed Neuroscience Research Building at SUNY Upstate. This state of the art facility </w:t>
      </w:r>
      <w:r>
        <w:rPr>
          <w:rFonts w:ascii="Arial" w:hAnsi="Arial" w:cs="Arial"/>
          <w:sz w:val="22"/>
          <w:szCs w:val="22"/>
        </w:rPr>
        <w:t>c</w:t>
      </w:r>
      <w:r w:rsidR="00285CE1">
        <w:rPr>
          <w:rFonts w:ascii="Arial" w:hAnsi="Arial" w:cs="Arial"/>
          <w:sz w:val="22"/>
          <w:szCs w:val="22"/>
        </w:rPr>
        <w:t>ontains</w:t>
      </w:r>
      <w:r w:rsidR="00443B6F">
        <w:rPr>
          <w:rFonts w:ascii="Arial" w:hAnsi="Arial" w:cs="Arial"/>
          <w:sz w:val="22"/>
          <w:szCs w:val="22"/>
        </w:rPr>
        <w:t xml:space="preserve"> </w:t>
      </w:r>
      <w:r w:rsidR="001F4DD8">
        <w:rPr>
          <w:rFonts w:ascii="Arial" w:hAnsi="Arial" w:cs="Arial"/>
          <w:sz w:val="22"/>
          <w:szCs w:val="22"/>
        </w:rPr>
        <w:t xml:space="preserve">several smaller </w:t>
      </w:r>
      <w:r w:rsidR="0056113B" w:rsidRPr="00442209">
        <w:rPr>
          <w:rFonts w:ascii="Arial" w:hAnsi="Arial" w:cs="Arial"/>
          <w:sz w:val="22"/>
          <w:szCs w:val="22"/>
        </w:rPr>
        <w:t xml:space="preserve">dedicated </w:t>
      </w:r>
      <w:r w:rsidR="001F4DD8">
        <w:rPr>
          <w:rFonts w:ascii="Arial" w:hAnsi="Arial" w:cs="Arial"/>
          <w:sz w:val="22"/>
          <w:szCs w:val="22"/>
        </w:rPr>
        <w:t xml:space="preserve">labs for: (1) tissue processing, </w:t>
      </w:r>
      <w:proofErr w:type="spellStart"/>
      <w:r w:rsidR="001F4DD8">
        <w:rPr>
          <w:rFonts w:ascii="Arial" w:hAnsi="Arial" w:cs="Arial"/>
          <w:sz w:val="22"/>
          <w:szCs w:val="22"/>
        </w:rPr>
        <w:t>cryosectioning</w:t>
      </w:r>
      <w:proofErr w:type="spellEnd"/>
      <w:r w:rsidR="001F4DD8">
        <w:rPr>
          <w:rFonts w:ascii="Arial" w:hAnsi="Arial" w:cs="Arial"/>
          <w:sz w:val="22"/>
          <w:szCs w:val="22"/>
        </w:rPr>
        <w:t xml:space="preserve"> and laser </w:t>
      </w:r>
      <w:proofErr w:type="spellStart"/>
      <w:r w:rsidR="001F4DD8">
        <w:rPr>
          <w:rFonts w:ascii="Arial" w:hAnsi="Arial" w:cs="Arial"/>
          <w:sz w:val="22"/>
          <w:szCs w:val="22"/>
        </w:rPr>
        <w:t>microdissection</w:t>
      </w:r>
      <w:proofErr w:type="spellEnd"/>
      <w:r w:rsidR="001F4DD8">
        <w:rPr>
          <w:rFonts w:ascii="Arial" w:hAnsi="Arial" w:cs="Arial"/>
          <w:sz w:val="22"/>
          <w:szCs w:val="22"/>
        </w:rPr>
        <w:t xml:space="preserve">, (2) semi-automated DNA, RNA and protein extraction and QC analysis, (3) real-time qPCR and digital droplet qPCR, (4) next generation sequencing and microarray sample preparation, (5) sequencing and scanning of NGS samples, microarray samples, </w:t>
      </w:r>
      <w:proofErr w:type="spellStart"/>
      <w:r w:rsidR="001F4DD8">
        <w:rPr>
          <w:rFonts w:ascii="Arial" w:hAnsi="Arial" w:cs="Arial"/>
          <w:sz w:val="22"/>
          <w:szCs w:val="22"/>
        </w:rPr>
        <w:t>Luminex</w:t>
      </w:r>
      <w:proofErr w:type="spellEnd"/>
      <w:r w:rsidR="001F4D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DD8">
        <w:rPr>
          <w:rFonts w:ascii="Arial" w:hAnsi="Arial" w:cs="Arial"/>
          <w:sz w:val="22"/>
          <w:szCs w:val="22"/>
        </w:rPr>
        <w:t>xMAP</w:t>
      </w:r>
      <w:proofErr w:type="spellEnd"/>
      <w:r w:rsidR="001F4DD8">
        <w:rPr>
          <w:rFonts w:ascii="Arial" w:hAnsi="Arial" w:cs="Arial"/>
          <w:sz w:val="22"/>
          <w:szCs w:val="22"/>
        </w:rPr>
        <w:t xml:space="preserve"> samples, </w:t>
      </w:r>
      <w:r w:rsidR="00285CE1">
        <w:rPr>
          <w:rFonts w:ascii="Arial" w:hAnsi="Arial" w:cs="Arial"/>
          <w:sz w:val="22"/>
          <w:szCs w:val="22"/>
        </w:rPr>
        <w:t xml:space="preserve">plate reader utilization, </w:t>
      </w:r>
      <w:proofErr w:type="spellStart"/>
      <w:r w:rsidR="00285CE1">
        <w:rPr>
          <w:rFonts w:ascii="Arial" w:hAnsi="Arial" w:cs="Arial"/>
          <w:sz w:val="22"/>
          <w:szCs w:val="22"/>
        </w:rPr>
        <w:t>Bioanalyzer</w:t>
      </w:r>
      <w:proofErr w:type="spellEnd"/>
      <w:r w:rsidR="00285CE1">
        <w:rPr>
          <w:rFonts w:ascii="Arial" w:hAnsi="Arial" w:cs="Arial"/>
          <w:sz w:val="22"/>
          <w:szCs w:val="22"/>
        </w:rPr>
        <w:t xml:space="preserve"> assays, and various other procedures. </w:t>
      </w:r>
      <w:r>
        <w:rPr>
          <w:rFonts w:ascii="Arial" w:hAnsi="Arial" w:cs="Arial"/>
          <w:sz w:val="22"/>
          <w:szCs w:val="22"/>
        </w:rPr>
        <w:t>The Core</w:t>
      </w:r>
      <w:r w:rsidR="001F4DD8">
        <w:rPr>
          <w:rFonts w:ascii="Arial" w:hAnsi="Arial" w:cs="Arial"/>
          <w:sz w:val="22"/>
          <w:szCs w:val="22"/>
        </w:rPr>
        <w:t xml:space="preserve"> also operates</w:t>
      </w:r>
      <w:r w:rsidR="00142B37" w:rsidRPr="00442209">
        <w:rPr>
          <w:rFonts w:ascii="Arial" w:hAnsi="Arial" w:cs="Arial"/>
          <w:sz w:val="22"/>
          <w:szCs w:val="22"/>
        </w:rPr>
        <w:t xml:space="preserve"> </w:t>
      </w:r>
      <w:r w:rsidR="001F4DD8">
        <w:rPr>
          <w:rFonts w:ascii="Arial" w:hAnsi="Arial" w:cs="Arial"/>
          <w:sz w:val="22"/>
          <w:szCs w:val="22"/>
        </w:rPr>
        <w:t>1</w:t>
      </w:r>
      <w:r w:rsidR="00762829">
        <w:rPr>
          <w:rFonts w:ascii="Arial" w:hAnsi="Arial" w:cs="Arial"/>
          <w:sz w:val="22"/>
          <w:szCs w:val="22"/>
        </w:rPr>
        <w:t>2</w:t>
      </w:r>
      <w:r w:rsidR="00142B37" w:rsidRPr="00442209">
        <w:rPr>
          <w:rFonts w:ascii="Arial" w:hAnsi="Arial" w:cs="Arial"/>
          <w:sz w:val="22"/>
          <w:szCs w:val="22"/>
        </w:rPr>
        <w:t xml:space="preserve"> high-end </w:t>
      </w:r>
      <w:r w:rsidR="00DB62D0">
        <w:rPr>
          <w:rFonts w:ascii="Arial" w:hAnsi="Arial" w:cs="Arial"/>
          <w:sz w:val="22"/>
          <w:szCs w:val="22"/>
        </w:rPr>
        <w:t xml:space="preserve">PC </w:t>
      </w:r>
      <w:r w:rsidR="00142B37" w:rsidRPr="00442209">
        <w:rPr>
          <w:rFonts w:ascii="Arial" w:hAnsi="Arial" w:cs="Arial"/>
          <w:sz w:val="22"/>
          <w:szCs w:val="22"/>
        </w:rPr>
        <w:t xml:space="preserve">systems for the </w:t>
      </w:r>
      <w:r w:rsidR="00DB62D0">
        <w:rPr>
          <w:rFonts w:ascii="Arial" w:hAnsi="Arial" w:cs="Arial"/>
          <w:sz w:val="22"/>
          <w:szCs w:val="22"/>
        </w:rPr>
        <w:t>various m</w:t>
      </w:r>
      <w:r w:rsidR="00142B37" w:rsidRPr="00442209">
        <w:rPr>
          <w:rFonts w:ascii="Arial" w:hAnsi="Arial" w:cs="Arial"/>
          <w:sz w:val="22"/>
          <w:szCs w:val="22"/>
        </w:rPr>
        <w:t>olecu</w:t>
      </w:r>
      <w:r w:rsidR="00DB62D0">
        <w:rPr>
          <w:rFonts w:ascii="Arial" w:hAnsi="Arial" w:cs="Arial"/>
          <w:sz w:val="22"/>
          <w:szCs w:val="22"/>
        </w:rPr>
        <w:t xml:space="preserve">lar analysis hardware platforms, and </w:t>
      </w:r>
      <w:r w:rsidR="00762829">
        <w:rPr>
          <w:rFonts w:ascii="Arial" w:hAnsi="Arial" w:cs="Arial"/>
          <w:sz w:val="22"/>
          <w:szCs w:val="22"/>
        </w:rPr>
        <w:t>four</w:t>
      </w:r>
      <w:r w:rsidR="00DB62D0">
        <w:rPr>
          <w:rFonts w:ascii="Arial" w:hAnsi="Arial" w:cs="Arial"/>
          <w:sz w:val="22"/>
          <w:szCs w:val="22"/>
        </w:rPr>
        <w:t xml:space="preserve"> additional high-</w:t>
      </w:r>
      <w:r w:rsidR="00762829">
        <w:rPr>
          <w:rFonts w:ascii="Arial" w:hAnsi="Arial" w:cs="Arial"/>
          <w:sz w:val="22"/>
          <w:szCs w:val="22"/>
        </w:rPr>
        <w:t>end computers for data analysis,</w:t>
      </w:r>
      <w:r w:rsidR="00DB62D0">
        <w:rPr>
          <w:rFonts w:ascii="Arial" w:hAnsi="Arial" w:cs="Arial"/>
          <w:sz w:val="22"/>
          <w:szCs w:val="22"/>
        </w:rPr>
        <w:t xml:space="preserve"> </w:t>
      </w:r>
      <w:r w:rsidR="001F4DD8">
        <w:rPr>
          <w:rFonts w:ascii="Arial" w:hAnsi="Arial" w:cs="Arial"/>
          <w:sz w:val="22"/>
          <w:szCs w:val="22"/>
        </w:rPr>
        <w:t>l</w:t>
      </w:r>
      <w:r w:rsidR="00DB62D0">
        <w:rPr>
          <w:rFonts w:ascii="Arial" w:hAnsi="Arial" w:cs="Arial"/>
          <w:sz w:val="22"/>
          <w:szCs w:val="22"/>
        </w:rPr>
        <w:t xml:space="preserve">oaded with </w:t>
      </w:r>
      <w:r w:rsidR="00DB62D0" w:rsidRPr="00442209">
        <w:rPr>
          <w:rFonts w:ascii="Arial" w:hAnsi="Arial" w:cs="Arial"/>
          <w:sz w:val="22"/>
          <w:szCs w:val="22"/>
        </w:rPr>
        <w:t xml:space="preserve">various state-of-the-art </w:t>
      </w:r>
      <w:r w:rsidR="0015214B">
        <w:rPr>
          <w:rFonts w:ascii="Arial" w:hAnsi="Arial" w:cs="Arial"/>
          <w:sz w:val="22"/>
          <w:szCs w:val="22"/>
        </w:rPr>
        <w:t>software</w:t>
      </w:r>
      <w:r w:rsidR="00DB62D0">
        <w:rPr>
          <w:rFonts w:ascii="Arial" w:hAnsi="Arial" w:cs="Arial"/>
          <w:sz w:val="22"/>
          <w:szCs w:val="22"/>
        </w:rPr>
        <w:t xml:space="preserve">, </w:t>
      </w:r>
      <w:r w:rsidR="00DB62D0" w:rsidRPr="00442209">
        <w:rPr>
          <w:rFonts w:ascii="Arial" w:hAnsi="Arial" w:cs="Arial"/>
          <w:sz w:val="22"/>
          <w:szCs w:val="22"/>
        </w:rPr>
        <w:t xml:space="preserve">such </w:t>
      </w:r>
      <w:proofErr w:type="spellStart"/>
      <w:r w:rsidR="00DB62D0">
        <w:rPr>
          <w:rFonts w:ascii="Arial" w:hAnsi="Arial" w:cs="Arial"/>
          <w:sz w:val="22"/>
          <w:szCs w:val="22"/>
        </w:rPr>
        <w:t>Partek</w:t>
      </w:r>
      <w:proofErr w:type="spellEnd"/>
      <w:r w:rsidR="00DB62D0">
        <w:rPr>
          <w:rFonts w:ascii="Arial" w:hAnsi="Arial" w:cs="Arial"/>
          <w:sz w:val="22"/>
          <w:szCs w:val="22"/>
        </w:rPr>
        <w:t xml:space="preserve"> Genomics Suite, </w:t>
      </w:r>
      <w:r w:rsidR="0015214B">
        <w:rPr>
          <w:rFonts w:ascii="Arial" w:hAnsi="Arial" w:cs="Arial"/>
          <w:sz w:val="22"/>
          <w:szCs w:val="22"/>
        </w:rPr>
        <w:t>Strand</w:t>
      </w:r>
      <w:r w:rsidR="001F4DD8">
        <w:rPr>
          <w:rFonts w:ascii="Arial" w:hAnsi="Arial" w:cs="Arial"/>
          <w:sz w:val="22"/>
          <w:szCs w:val="22"/>
        </w:rPr>
        <w:t xml:space="preserve"> NGS, an</w:t>
      </w:r>
      <w:r>
        <w:rPr>
          <w:rFonts w:ascii="Arial" w:hAnsi="Arial" w:cs="Arial"/>
          <w:sz w:val="22"/>
          <w:szCs w:val="22"/>
        </w:rPr>
        <w:t xml:space="preserve">d </w:t>
      </w:r>
      <w:r w:rsidR="00DB62D0">
        <w:rPr>
          <w:rFonts w:ascii="Arial" w:hAnsi="Arial" w:cs="Arial"/>
          <w:sz w:val="22"/>
          <w:szCs w:val="22"/>
        </w:rPr>
        <w:t>IPA</w:t>
      </w:r>
      <w:r w:rsidR="0015214B">
        <w:rPr>
          <w:rFonts w:ascii="Arial" w:hAnsi="Arial" w:cs="Arial"/>
          <w:sz w:val="22"/>
          <w:szCs w:val="22"/>
        </w:rPr>
        <w:t>, among others,</w:t>
      </w:r>
      <w:r w:rsidR="00DB62D0" w:rsidRPr="00442209">
        <w:rPr>
          <w:rFonts w:ascii="Arial" w:hAnsi="Arial" w:cs="Arial"/>
          <w:sz w:val="22"/>
          <w:szCs w:val="22"/>
        </w:rPr>
        <w:t xml:space="preserve"> for conducting statistical and genetic analyses. </w:t>
      </w:r>
    </w:p>
    <w:sectPr w:rsidR="00AD6A88" w:rsidRPr="00F6436A" w:rsidSect="004A6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0E" w:rsidRDefault="00CB410E" w:rsidP="00446688">
      <w:r>
        <w:separator/>
      </w:r>
    </w:p>
  </w:endnote>
  <w:endnote w:type="continuationSeparator" w:id="0">
    <w:p w:rsidR="00CB410E" w:rsidRDefault="00CB410E" w:rsidP="0044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0E" w:rsidRDefault="00CB410E" w:rsidP="00446688">
      <w:r>
        <w:separator/>
      </w:r>
    </w:p>
  </w:footnote>
  <w:footnote w:type="continuationSeparator" w:id="0">
    <w:p w:rsidR="00CB410E" w:rsidRDefault="00CB410E" w:rsidP="0044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2AA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57A01"/>
    <w:multiLevelType w:val="multilevel"/>
    <w:tmpl w:val="AB9E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37"/>
    <w:rsid w:val="00000F45"/>
    <w:rsid w:val="0006779A"/>
    <w:rsid w:val="000B181A"/>
    <w:rsid w:val="000B4573"/>
    <w:rsid w:val="000C507E"/>
    <w:rsid w:val="000D34D2"/>
    <w:rsid w:val="0012275B"/>
    <w:rsid w:val="00142B37"/>
    <w:rsid w:val="0015214B"/>
    <w:rsid w:val="001669E5"/>
    <w:rsid w:val="0019185F"/>
    <w:rsid w:val="001B1EE9"/>
    <w:rsid w:val="001C3231"/>
    <w:rsid w:val="001E3B57"/>
    <w:rsid w:val="001F4DD8"/>
    <w:rsid w:val="002024F9"/>
    <w:rsid w:val="002427F5"/>
    <w:rsid w:val="00283535"/>
    <w:rsid w:val="00285CE1"/>
    <w:rsid w:val="002A224D"/>
    <w:rsid w:val="002C7923"/>
    <w:rsid w:val="00301B1F"/>
    <w:rsid w:val="003749E0"/>
    <w:rsid w:val="00391180"/>
    <w:rsid w:val="00395BEB"/>
    <w:rsid w:val="003D6275"/>
    <w:rsid w:val="00415E46"/>
    <w:rsid w:val="00425AC0"/>
    <w:rsid w:val="00442209"/>
    <w:rsid w:val="00443B6F"/>
    <w:rsid w:val="00446688"/>
    <w:rsid w:val="00462E42"/>
    <w:rsid w:val="004650ED"/>
    <w:rsid w:val="00486CF9"/>
    <w:rsid w:val="004A60C2"/>
    <w:rsid w:val="004A67C0"/>
    <w:rsid w:val="004B01CA"/>
    <w:rsid w:val="004B22B3"/>
    <w:rsid w:val="004B4E89"/>
    <w:rsid w:val="004D225A"/>
    <w:rsid w:val="004F6D7B"/>
    <w:rsid w:val="0056113B"/>
    <w:rsid w:val="00570FF1"/>
    <w:rsid w:val="00576B2A"/>
    <w:rsid w:val="005D3C1C"/>
    <w:rsid w:val="00624011"/>
    <w:rsid w:val="0064661F"/>
    <w:rsid w:val="00666ADB"/>
    <w:rsid w:val="00693383"/>
    <w:rsid w:val="006B2632"/>
    <w:rsid w:val="006B7B17"/>
    <w:rsid w:val="006D6622"/>
    <w:rsid w:val="006E1024"/>
    <w:rsid w:val="00755B67"/>
    <w:rsid w:val="00762829"/>
    <w:rsid w:val="00770DE6"/>
    <w:rsid w:val="007A02B5"/>
    <w:rsid w:val="007A48FD"/>
    <w:rsid w:val="007D6A41"/>
    <w:rsid w:val="007E0A0E"/>
    <w:rsid w:val="00816011"/>
    <w:rsid w:val="00841836"/>
    <w:rsid w:val="008418D5"/>
    <w:rsid w:val="00873A02"/>
    <w:rsid w:val="00891CC9"/>
    <w:rsid w:val="008A0FA7"/>
    <w:rsid w:val="008B785B"/>
    <w:rsid w:val="008C6862"/>
    <w:rsid w:val="008F10EB"/>
    <w:rsid w:val="00904E8A"/>
    <w:rsid w:val="00976E8A"/>
    <w:rsid w:val="009861C7"/>
    <w:rsid w:val="009945D0"/>
    <w:rsid w:val="009D5649"/>
    <w:rsid w:val="009D71B2"/>
    <w:rsid w:val="00A04E71"/>
    <w:rsid w:val="00A12846"/>
    <w:rsid w:val="00A138D7"/>
    <w:rsid w:val="00A23480"/>
    <w:rsid w:val="00A677E2"/>
    <w:rsid w:val="00A75082"/>
    <w:rsid w:val="00A85B2A"/>
    <w:rsid w:val="00A9101C"/>
    <w:rsid w:val="00A91FCB"/>
    <w:rsid w:val="00AA021C"/>
    <w:rsid w:val="00AC0403"/>
    <w:rsid w:val="00AD0C62"/>
    <w:rsid w:val="00AD4774"/>
    <w:rsid w:val="00AD6A88"/>
    <w:rsid w:val="00AF727B"/>
    <w:rsid w:val="00B12198"/>
    <w:rsid w:val="00B203E7"/>
    <w:rsid w:val="00B31916"/>
    <w:rsid w:val="00B837B5"/>
    <w:rsid w:val="00B91C28"/>
    <w:rsid w:val="00B96F24"/>
    <w:rsid w:val="00B97133"/>
    <w:rsid w:val="00BA30E5"/>
    <w:rsid w:val="00BA6014"/>
    <w:rsid w:val="00BB3AC8"/>
    <w:rsid w:val="00C06D1B"/>
    <w:rsid w:val="00C42FF5"/>
    <w:rsid w:val="00C67845"/>
    <w:rsid w:val="00C942D3"/>
    <w:rsid w:val="00C96454"/>
    <w:rsid w:val="00CB410E"/>
    <w:rsid w:val="00CF2829"/>
    <w:rsid w:val="00D100D0"/>
    <w:rsid w:val="00D4360E"/>
    <w:rsid w:val="00D642FE"/>
    <w:rsid w:val="00D92FCB"/>
    <w:rsid w:val="00DB62D0"/>
    <w:rsid w:val="00DC26E2"/>
    <w:rsid w:val="00DF42B3"/>
    <w:rsid w:val="00E1768B"/>
    <w:rsid w:val="00E255CF"/>
    <w:rsid w:val="00E8422D"/>
    <w:rsid w:val="00E900F9"/>
    <w:rsid w:val="00EE204B"/>
    <w:rsid w:val="00F353FC"/>
    <w:rsid w:val="00F57F1C"/>
    <w:rsid w:val="00F6436A"/>
    <w:rsid w:val="00F84A10"/>
    <w:rsid w:val="00F9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3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qFormat/>
    <w:rsid w:val="004B4E89"/>
    <w:pPr>
      <w:spacing w:before="150" w:after="100" w:afterAutospacing="1"/>
      <w:outlineLvl w:val="0"/>
    </w:pPr>
    <w:rPr>
      <w:rFonts w:eastAsia="Times New Roman"/>
      <w:b/>
      <w:bCs/>
      <w:color w:val="15629D"/>
      <w:kern w:val="36"/>
      <w:sz w:val="31"/>
      <w:szCs w:val="31"/>
      <w:lang w:eastAsia="en-US"/>
    </w:rPr>
  </w:style>
  <w:style w:type="paragraph" w:styleId="Heading2">
    <w:name w:val="heading 2"/>
    <w:basedOn w:val="Normal"/>
    <w:qFormat/>
    <w:rsid w:val="004B4E89"/>
    <w:pPr>
      <w:spacing w:before="75" w:after="75" w:line="288" w:lineRule="atLeast"/>
      <w:outlineLvl w:val="1"/>
    </w:pPr>
    <w:rPr>
      <w:rFonts w:eastAsia="Times New Roman"/>
      <w:b/>
      <w:bCs/>
      <w:color w:val="A2741E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37"/>
    <w:rPr>
      <w:color w:val="0000FF"/>
      <w:u w:val="single"/>
    </w:rPr>
  </w:style>
  <w:style w:type="paragraph" w:customStyle="1" w:styleId="DataField11pt">
    <w:name w:val="Data Field 11pt"/>
    <w:basedOn w:val="Normal"/>
    <w:link w:val="DataField11ptChar"/>
    <w:rsid w:val="0056113B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Char">
    <w:name w:val="Data Field 11pt Char"/>
    <w:link w:val="DataField11pt"/>
    <w:rsid w:val="0056113B"/>
    <w:rPr>
      <w:rFonts w:ascii="Arial" w:hAnsi="Arial" w:cs="Arial"/>
      <w:sz w:val="22"/>
      <w:lang w:val="en-US" w:eastAsia="en-US" w:bidi="ar-SA"/>
    </w:rPr>
  </w:style>
  <w:style w:type="paragraph" w:customStyle="1" w:styleId="FormFooter">
    <w:name w:val="Form Footer"/>
    <w:basedOn w:val="Normal"/>
    <w:rsid w:val="002C792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  <w:lang w:eastAsia="en-US"/>
    </w:rPr>
  </w:style>
  <w:style w:type="paragraph" w:styleId="NormalWeb">
    <w:name w:val="Normal (Web)"/>
    <w:basedOn w:val="Normal"/>
    <w:rsid w:val="004B4E8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6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6688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66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6688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688"/>
    <w:rPr>
      <w:rFonts w:ascii="Lucida Grande" w:eastAsia="MS Mincho" w:hAnsi="Lucida Grande" w:cs="Lucida Grande"/>
      <w:sz w:val="18"/>
      <w:szCs w:val="18"/>
      <w:lang w:eastAsia="ja-JP"/>
    </w:rPr>
  </w:style>
  <w:style w:type="paragraph" w:customStyle="1" w:styleId="leftflush">
    <w:name w:val="left flush"/>
    <w:basedOn w:val="Normal"/>
    <w:rsid w:val="00891CC9"/>
    <w:pPr>
      <w:spacing w:before="240" w:line="320" w:lineRule="atLeast"/>
      <w:ind w:firstLine="440"/>
      <w:jc w:val="both"/>
    </w:pPr>
    <w:rPr>
      <w:rFonts w:ascii="Palatino" w:eastAsia="Times New Roman" w:hAnsi="Palatino"/>
      <w:kern w:val="24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3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qFormat/>
    <w:rsid w:val="004B4E89"/>
    <w:pPr>
      <w:spacing w:before="150" w:after="100" w:afterAutospacing="1"/>
      <w:outlineLvl w:val="0"/>
    </w:pPr>
    <w:rPr>
      <w:rFonts w:eastAsia="Times New Roman"/>
      <w:b/>
      <w:bCs/>
      <w:color w:val="15629D"/>
      <w:kern w:val="36"/>
      <w:sz w:val="31"/>
      <w:szCs w:val="31"/>
      <w:lang w:eastAsia="en-US"/>
    </w:rPr>
  </w:style>
  <w:style w:type="paragraph" w:styleId="Heading2">
    <w:name w:val="heading 2"/>
    <w:basedOn w:val="Normal"/>
    <w:qFormat/>
    <w:rsid w:val="004B4E89"/>
    <w:pPr>
      <w:spacing w:before="75" w:after="75" w:line="288" w:lineRule="atLeast"/>
      <w:outlineLvl w:val="1"/>
    </w:pPr>
    <w:rPr>
      <w:rFonts w:eastAsia="Times New Roman"/>
      <w:b/>
      <w:bCs/>
      <w:color w:val="A2741E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37"/>
    <w:rPr>
      <w:color w:val="0000FF"/>
      <w:u w:val="single"/>
    </w:rPr>
  </w:style>
  <w:style w:type="paragraph" w:customStyle="1" w:styleId="DataField11pt">
    <w:name w:val="Data Field 11pt"/>
    <w:basedOn w:val="Normal"/>
    <w:link w:val="DataField11ptChar"/>
    <w:rsid w:val="0056113B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Char">
    <w:name w:val="Data Field 11pt Char"/>
    <w:link w:val="DataField11pt"/>
    <w:rsid w:val="0056113B"/>
    <w:rPr>
      <w:rFonts w:ascii="Arial" w:hAnsi="Arial" w:cs="Arial"/>
      <w:sz w:val="22"/>
      <w:lang w:val="en-US" w:eastAsia="en-US" w:bidi="ar-SA"/>
    </w:rPr>
  </w:style>
  <w:style w:type="paragraph" w:customStyle="1" w:styleId="FormFooter">
    <w:name w:val="Form Footer"/>
    <w:basedOn w:val="Normal"/>
    <w:rsid w:val="002C792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  <w:lang w:eastAsia="en-US"/>
    </w:rPr>
  </w:style>
  <w:style w:type="paragraph" w:styleId="NormalWeb">
    <w:name w:val="Normal (Web)"/>
    <w:basedOn w:val="Normal"/>
    <w:rsid w:val="004B4E8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6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6688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66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6688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688"/>
    <w:rPr>
      <w:rFonts w:ascii="Lucida Grande" w:eastAsia="MS Mincho" w:hAnsi="Lucida Grande" w:cs="Lucida Grande"/>
      <w:sz w:val="18"/>
      <w:szCs w:val="18"/>
      <w:lang w:eastAsia="ja-JP"/>
    </w:rPr>
  </w:style>
  <w:style w:type="paragraph" w:customStyle="1" w:styleId="leftflush">
    <w:name w:val="left flush"/>
    <w:basedOn w:val="Normal"/>
    <w:rsid w:val="00891CC9"/>
    <w:pPr>
      <w:spacing w:before="240" w:line="320" w:lineRule="atLeast"/>
      <w:ind w:firstLine="440"/>
      <w:jc w:val="both"/>
    </w:pPr>
    <w:rPr>
      <w:rFonts w:ascii="Palatino" w:eastAsia="Times New Roman" w:hAnsi="Palatino"/>
      <w:kern w:val="24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Upstate Medical University</Company>
  <LinksUpToDate>false</LinksUpToDate>
  <CharactersWithSpaces>3877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http://www.upstate.edu/sunymac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creator>Frank Middleton</dc:creator>
  <cp:lastModifiedBy>Administrator</cp:lastModifiedBy>
  <cp:revision>4</cp:revision>
  <cp:lastPrinted>2011-01-20T23:07:00Z</cp:lastPrinted>
  <dcterms:created xsi:type="dcterms:W3CDTF">2014-11-11T16:55:00Z</dcterms:created>
  <dcterms:modified xsi:type="dcterms:W3CDTF">2016-06-02T13:42:00Z</dcterms:modified>
</cp:coreProperties>
</file>